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368"/>
        <w:gridCol w:w="11700"/>
      </w:tblGrid>
      <w:tr w:rsidR="00223EC7" w:rsidTr="00C3449B">
        <w:tc>
          <w:tcPr>
            <w:tcW w:w="1368" w:type="dxa"/>
            <w:shd w:val="clear" w:color="auto" w:fill="B8CCE4" w:themeFill="accent1" w:themeFillTint="66"/>
          </w:tcPr>
          <w:p w:rsidR="00223EC7" w:rsidRDefault="00223EC7" w:rsidP="00351C8C">
            <w:pPr>
              <w:jc w:val="center"/>
            </w:pPr>
            <w:r>
              <w:t>Provision</w:t>
            </w:r>
          </w:p>
        </w:tc>
        <w:tc>
          <w:tcPr>
            <w:tcW w:w="11700" w:type="dxa"/>
            <w:shd w:val="clear" w:color="auto" w:fill="B8CCE4" w:themeFill="accent1" w:themeFillTint="66"/>
          </w:tcPr>
          <w:p w:rsidR="00223EC7" w:rsidRDefault="00223EC7" w:rsidP="00351C8C">
            <w:pPr>
              <w:jc w:val="center"/>
            </w:pPr>
            <w:r>
              <w:t>Description</w:t>
            </w:r>
          </w:p>
        </w:tc>
      </w:tr>
      <w:tr w:rsidR="00223EC7" w:rsidTr="00C3449B">
        <w:tc>
          <w:tcPr>
            <w:tcW w:w="1368" w:type="dxa"/>
          </w:tcPr>
          <w:p w:rsidR="00223EC7" w:rsidRDefault="00223EC7">
            <w:r>
              <w:t>3314.015</w:t>
            </w:r>
          </w:p>
        </w:tc>
        <w:tc>
          <w:tcPr>
            <w:tcW w:w="11700" w:type="dxa"/>
          </w:tcPr>
          <w:p w:rsidR="00223EC7" w:rsidRDefault="00223EC7">
            <w:r>
              <w:t>Requires every entity to obtain approval and enter into a written contract with ODE prior to sponsoring schools</w:t>
            </w:r>
          </w:p>
        </w:tc>
      </w:tr>
      <w:tr w:rsidR="00223EC7" w:rsidTr="00C3449B">
        <w:tc>
          <w:tcPr>
            <w:tcW w:w="1368" w:type="dxa"/>
          </w:tcPr>
          <w:p w:rsidR="00223EC7" w:rsidRDefault="00223EC7">
            <w:r>
              <w:t>3314.015</w:t>
            </w:r>
          </w:p>
        </w:tc>
        <w:tc>
          <w:tcPr>
            <w:tcW w:w="11700" w:type="dxa"/>
          </w:tcPr>
          <w:p w:rsidR="00223EC7" w:rsidRDefault="00223EC7">
            <w:r>
              <w:t xml:space="preserve">- Reduces length of initial term from seven to </w:t>
            </w:r>
            <w:r w:rsidRPr="00351C8C">
              <w:rPr>
                <w:u w:val="single"/>
              </w:rPr>
              <w:t>five</w:t>
            </w:r>
            <w:r>
              <w:t xml:space="preserve"> years. </w:t>
            </w:r>
          </w:p>
          <w:p w:rsidR="00223EC7" w:rsidRDefault="00223EC7">
            <w:r>
              <w:t>- First two years of contract must be designated for training, planning, and collecting the resources to carry out high quality sponsorship practices.</w:t>
            </w:r>
          </w:p>
          <w:p w:rsidR="00223EC7" w:rsidRDefault="00223EC7">
            <w:r>
              <w:t>- Removes the continuous one-year extension for the sponsor contract that are not in the lowest 20%</w:t>
            </w:r>
          </w:p>
          <w:p w:rsidR="00223EC7" w:rsidRDefault="00223EC7">
            <w:r>
              <w:t xml:space="preserve">- Renewal process for a term of up to 12 years, based upon academic performance of students in schools and sponsors adherence to quality practices. </w:t>
            </w:r>
          </w:p>
        </w:tc>
      </w:tr>
      <w:tr w:rsidR="00223EC7" w:rsidTr="00C3449B">
        <w:tc>
          <w:tcPr>
            <w:tcW w:w="1368" w:type="dxa"/>
          </w:tcPr>
          <w:p w:rsidR="00223EC7" w:rsidRDefault="00223EC7">
            <w:r>
              <w:t>3314.015</w:t>
            </w:r>
          </w:p>
        </w:tc>
        <w:tc>
          <w:tcPr>
            <w:tcW w:w="11700" w:type="dxa"/>
          </w:tcPr>
          <w:p w:rsidR="00223EC7" w:rsidRDefault="00223EC7">
            <w:r>
              <w:t>Removes the limit on the number of schools sponsored by an entity, instead says they can sponsor schools in a manner consistent with their contract with ODE.</w:t>
            </w:r>
          </w:p>
        </w:tc>
      </w:tr>
      <w:tr w:rsidR="00223EC7" w:rsidTr="00C3449B">
        <w:tc>
          <w:tcPr>
            <w:tcW w:w="1368" w:type="dxa"/>
          </w:tcPr>
          <w:p w:rsidR="00223EC7" w:rsidRDefault="00223EC7">
            <w:r>
              <w:t>3314.03</w:t>
            </w:r>
          </w:p>
        </w:tc>
        <w:tc>
          <w:tcPr>
            <w:tcW w:w="11700" w:type="dxa"/>
          </w:tcPr>
          <w:p w:rsidR="00223EC7" w:rsidRDefault="00223EC7">
            <w:r>
              <w:t xml:space="preserve">-Included in the contract between sponsor and governing board there must be a statement that if the governing board contracts with an attorney, accountant, or auditing firm, they must be independent from the operator. </w:t>
            </w:r>
          </w:p>
          <w:p w:rsidR="00223EC7" w:rsidRDefault="00223EC7">
            <w:r>
              <w:t>-Each contract must contain a statement that all moneys an operator loans to a school must be accounted for, documented, and based on fair market values.</w:t>
            </w:r>
          </w:p>
        </w:tc>
      </w:tr>
      <w:tr w:rsidR="00223EC7" w:rsidTr="00C3449B">
        <w:tc>
          <w:tcPr>
            <w:tcW w:w="1368" w:type="dxa"/>
          </w:tcPr>
          <w:p w:rsidR="00223EC7" w:rsidRDefault="00223EC7">
            <w:r>
              <w:t>3314.46</w:t>
            </w:r>
          </w:p>
        </w:tc>
        <w:tc>
          <w:tcPr>
            <w:tcW w:w="11700" w:type="dxa"/>
          </w:tcPr>
          <w:p w:rsidR="00223EC7" w:rsidRDefault="00223EC7">
            <w:r>
              <w:t>Prohibits sponsors selling goods or services to schools it oversees.</w:t>
            </w:r>
          </w:p>
        </w:tc>
      </w:tr>
      <w:tr w:rsidR="00223EC7" w:rsidTr="00C3449B">
        <w:tc>
          <w:tcPr>
            <w:tcW w:w="1368" w:type="dxa"/>
          </w:tcPr>
          <w:p w:rsidR="00223EC7" w:rsidRDefault="00223EC7">
            <w:r>
              <w:t>3314.07</w:t>
            </w:r>
          </w:p>
        </w:tc>
        <w:tc>
          <w:tcPr>
            <w:tcW w:w="11700" w:type="dxa"/>
          </w:tcPr>
          <w:p w:rsidR="00223EC7" w:rsidRDefault="00223EC7">
            <w:r>
              <w:t>Makes final a decision of the sponsor to terminate a contract or non-renew with the governing board by eliminating a provision in law that allows for an appeal to the SBOE.</w:t>
            </w:r>
          </w:p>
        </w:tc>
      </w:tr>
      <w:tr w:rsidR="00223EC7" w:rsidTr="00C3449B">
        <w:tc>
          <w:tcPr>
            <w:tcW w:w="1368" w:type="dxa"/>
          </w:tcPr>
          <w:p w:rsidR="00223EC7" w:rsidRDefault="00223EC7">
            <w:r>
              <w:t>3314.016</w:t>
            </w:r>
          </w:p>
        </w:tc>
        <w:tc>
          <w:tcPr>
            <w:tcW w:w="11700" w:type="dxa"/>
          </w:tcPr>
          <w:p w:rsidR="00223EC7" w:rsidRDefault="00223EC7" w:rsidP="00420BDE">
            <w:r>
              <w:t>Modifications to SPR</w:t>
            </w:r>
          </w:p>
        </w:tc>
      </w:tr>
      <w:tr w:rsidR="00223EC7" w:rsidTr="00C3449B">
        <w:tc>
          <w:tcPr>
            <w:tcW w:w="1368" w:type="dxa"/>
          </w:tcPr>
          <w:p w:rsidR="00223EC7" w:rsidRDefault="00223EC7"/>
          <w:p w:rsidR="00223EC7" w:rsidRDefault="00223EC7"/>
          <w:p w:rsidR="00223EC7" w:rsidRDefault="00223EC7"/>
          <w:p w:rsidR="00223EC7" w:rsidRDefault="00223EC7">
            <w:r>
              <w:t>3314.029</w:t>
            </w:r>
          </w:p>
        </w:tc>
        <w:tc>
          <w:tcPr>
            <w:tcW w:w="11700" w:type="dxa"/>
          </w:tcPr>
          <w:p w:rsidR="00C834F0" w:rsidRDefault="00C834F0"/>
          <w:p w:rsidR="00223EC7" w:rsidRDefault="00223EC7">
            <w:bookmarkStart w:id="0" w:name="_GoBack"/>
            <w:bookmarkEnd w:id="0"/>
            <w:r>
              <w:t>Ohio Office of School Sponsorship:</w:t>
            </w:r>
          </w:p>
          <w:p w:rsidR="00223EC7" w:rsidRDefault="00223EC7" w:rsidP="00355BD9">
            <w:r>
              <w:t>- Permits the office to promulgate the format, requirements, procedures, deadlines, and ratings for submission and processing of applications submitted with the intent to establish a community school;</w:t>
            </w:r>
          </w:p>
          <w:p w:rsidR="00223EC7" w:rsidRDefault="00223EC7" w:rsidP="00355BD9">
            <w:r>
              <w:t>- Permits the office to promulgate the format, requirements, procedures, deadlines, and ratings for contracts entered into between ODE and the governing board of the CS.</w:t>
            </w:r>
          </w:p>
          <w:p w:rsidR="00223EC7" w:rsidRDefault="00223EC7" w:rsidP="00355BD9">
            <w:r>
              <w:t>- Requires each app submitted include, in addition to the requirements under continuing law, any other information deemed necessary by ODE.</w:t>
            </w:r>
          </w:p>
          <w:p w:rsidR="00223EC7" w:rsidRDefault="00223EC7" w:rsidP="00355BD9">
            <w:r>
              <w:t>- Eliminates current provision requiring ODE to approve each application to establish a CS unless within 30 days after receipt, ODE determines the application does not satisfy initial requirements.</w:t>
            </w:r>
          </w:p>
          <w:p w:rsidR="00223EC7" w:rsidRDefault="00223EC7" w:rsidP="00355BD9">
            <w:r>
              <w:t>- Two-step approval or rejection process by first reviewing each application and assigning a rating, then permitting ODE to approve up to 20 applications for CS to be established or continue operation each school year, but taking into consideration standards of quality authorizing, capacity, financial constraints, or other reasons.</w:t>
            </w:r>
          </w:p>
          <w:p w:rsidR="00223EC7" w:rsidRDefault="00223EC7" w:rsidP="00355BD9">
            <w:r>
              <w:t>- Permits ODE beginning 2015-2016 school year, to solicit applications for establishment of up to five new CS that meet certain criteria designed to further high quality standards and the provision of innovated educational delivery models, as determined by ODE.</w:t>
            </w:r>
          </w:p>
        </w:tc>
      </w:tr>
      <w:tr w:rsidR="00223EC7" w:rsidTr="00C3449B">
        <w:tc>
          <w:tcPr>
            <w:tcW w:w="1368" w:type="dxa"/>
          </w:tcPr>
          <w:p w:rsidR="00223EC7" w:rsidRDefault="00223EC7">
            <w:r>
              <w:lastRenderedPageBreak/>
              <w:t>3314.011</w:t>
            </w:r>
          </w:p>
          <w:p w:rsidR="00223EC7" w:rsidRDefault="00223EC7"/>
          <w:p w:rsidR="00223EC7" w:rsidRDefault="00223EC7"/>
        </w:tc>
        <w:tc>
          <w:tcPr>
            <w:tcW w:w="11700" w:type="dxa"/>
          </w:tcPr>
          <w:p w:rsidR="00223EC7" w:rsidRDefault="00223EC7">
            <w:r>
              <w:t>Every community school must have designated fiscal officer who must be an employee of the governing board, independent of any operator with which the school contracts.</w:t>
            </w:r>
          </w:p>
        </w:tc>
      </w:tr>
      <w:tr w:rsidR="00223EC7" w:rsidTr="00C3449B">
        <w:tc>
          <w:tcPr>
            <w:tcW w:w="1368" w:type="dxa"/>
          </w:tcPr>
          <w:p w:rsidR="00223EC7" w:rsidRDefault="00223EC7">
            <w:r>
              <w:t>3314.07</w:t>
            </w:r>
          </w:p>
        </w:tc>
        <w:tc>
          <w:tcPr>
            <w:tcW w:w="11700" w:type="dxa"/>
          </w:tcPr>
          <w:p w:rsidR="00223EC7" w:rsidRDefault="00223EC7" w:rsidP="000A20DF">
            <w:r>
              <w:t>Expands types of civil liabilities from which a sponsor or its officers, directors, or employees are exempt to include harm allegedly rising from failure of the CS to meet obligations of any contract or other obligation entered into on behalf of the CS and another party.</w:t>
            </w:r>
          </w:p>
        </w:tc>
      </w:tr>
      <w:tr w:rsidR="00223EC7" w:rsidTr="00C3449B">
        <w:tc>
          <w:tcPr>
            <w:tcW w:w="1368" w:type="dxa"/>
          </w:tcPr>
          <w:p w:rsidR="00223EC7" w:rsidRDefault="00223EC7">
            <w:r>
              <w:t>3314.07</w:t>
            </w:r>
          </w:p>
        </w:tc>
        <w:tc>
          <w:tcPr>
            <w:tcW w:w="11700" w:type="dxa"/>
          </w:tcPr>
          <w:p w:rsidR="00223EC7" w:rsidRDefault="00223EC7">
            <w:r>
              <w:t>Permits a sponsor who prevails in an action for failure to meet contractual obligations to recover reasonable attorney’s fee and other expenses to be paid jointly and severally by the governing board, members of the board, or from any other plaintiff.</w:t>
            </w:r>
          </w:p>
        </w:tc>
      </w:tr>
      <w:tr w:rsidR="00223EC7" w:rsidTr="00C3449B">
        <w:tc>
          <w:tcPr>
            <w:tcW w:w="1368" w:type="dxa"/>
          </w:tcPr>
          <w:p w:rsidR="00223EC7" w:rsidRDefault="00223EC7">
            <w:r>
              <w:t>3314.074</w:t>
            </w:r>
          </w:p>
        </w:tc>
        <w:tc>
          <w:tcPr>
            <w:tcW w:w="11700" w:type="dxa"/>
          </w:tcPr>
          <w:p w:rsidR="00223EC7" w:rsidRDefault="00223EC7">
            <w:r>
              <w:t>If a community school merges or consolidates into a single public benefit corporation it is exempt from the requirement to distribute assets as if it were permanently closed, if all of the following are satisfied;</w:t>
            </w:r>
          </w:p>
          <w:p w:rsidR="00223EC7" w:rsidRDefault="00223EC7" w:rsidP="000A20DF">
            <w:r>
              <w:t xml:space="preserve">- At least one of the community schools involved is sponsored by an entity rated as “exemplary” </w:t>
            </w:r>
          </w:p>
          <w:p w:rsidR="00223EC7" w:rsidRDefault="00223EC7" w:rsidP="000A20DF">
            <w:r>
              <w:t>- Governing board of the community school created by the merger or consolidation enters into a contract with a sponsor who is rated “exemplary”</w:t>
            </w:r>
          </w:p>
          <w:p w:rsidR="00223EC7" w:rsidRDefault="00223EC7" w:rsidP="000A20DF">
            <w:r>
              <w:t>- The merged or consolidated community schools are located in the same county or school district.</w:t>
            </w:r>
          </w:p>
        </w:tc>
      </w:tr>
      <w:tr w:rsidR="00223EC7" w:rsidTr="00C3449B">
        <w:tc>
          <w:tcPr>
            <w:tcW w:w="1368" w:type="dxa"/>
          </w:tcPr>
          <w:p w:rsidR="00223EC7" w:rsidRDefault="00223EC7">
            <w:r>
              <w:t>3314.026-Repealed</w:t>
            </w:r>
          </w:p>
        </w:tc>
        <w:tc>
          <w:tcPr>
            <w:tcW w:w="11700" w:type="dxa"/>
          </w:tcPr>
          <w:p w:rsidR="00223EC7" w:rsidRDefault="00223EC7">
            <w:r>
              <w:t>Eliminates the ability of the operator to appeal the decision by a board governing board if they chose to terminate or not renew the contract.</w:t>
            </w:r>
          </w:p>
        </w:tc>
      </w:tr>
      <w:tr w:rsidR="00223EC7" w:rsidTr="00C3449B">
        <w:tc>
          <w:tcPr>
            <w:tcW w:w="1368" w:type="dxa"/>
          </w:tcPr>
          <w:p w:rsidR="00223EC7" w:rsidRDefault="00223EC7"/>
        </w:tc>
        <w:tc>
          <w:tcPr>
            <w:tcW w:w="11700" w:type="dxa"/>
          </w:tcPr>
          <w:p w:rsidR="00223EC7" w:rsidRDefault="00223EC7">
            <w:r>
              <w:t xml:space="preserve">If a CS is sponsored by an entity rated “exemplary”, they can be licensed to provide a preschool program for children ages three or older. </w:t>
            </w:r>
          </w:p>
        </w:tc>
      </w:tr>
      <w:tr w:rsidR="00223EC7" w:rsidTr="00C3449B">
        <w:tc>
          <w:tcPr>
            <w:tcW w:w="1368" w:type="dxa"/>
          </w:tcPr>
          <w:p w:rsidR="00223EC7" w:rsidRDefault="00223EC7"/>
        </w:tc>
        <w:tc>
          <w:tcPr>
            <w:tcW w:w="11700" w:type="dxa"/>
          </w:tcPr>
          <w:p w:rsidR="00223EC7" w:rsidRDefault="00223EC7">
            <w:r>
              <w:t>Requires the governing board of a CS to annually report the number of students enrolled in a preschool program, operated by the school that is licensed by ODE, who are not receiving special education and related services pursuant to an IEP.</w:t>
            </w:r>
          </w:p>
        </w:tc>
      </w:tr>
      <w:tr w:rsidR="00223EC7" w:rsidTr="00C3449B">
        <w:tc>
          <w:tcPr>
            <w:tcW w:w="1368" w:type="dxa"/>
          </w:tcPr>
          <w:p w:rsidR="00223EC7" w:rsidRDefault="00223EC7"/>
        </w:tc>
        <w:tc>
          <w:tcPr>
            <w:tcW w:w="11700" w:type="dxa"/>
          </w:tcPr>
          <w:p w:rsidR="00223EC7" w:rsidRDefault="00223EC7">
            <w:r>
              <w:t>If a CS operates a preschool program, they may not receive state community school operating funding; rather it gives them the opportunity to apply for early childhood education funding.</w:t>
            </w:r>
          </w:p>
        </w:tc>
      </w:tr>
      <w:tr w:rsidR="00223EC7" w:rsidTr="00C3449B">
        <w:tc>
          <w:tcPr>
            <w:tcW w:w="1368" w:type="dxa"/>
          </w:tcPr>
          <w:p w:rsidR="00223EC7" w:rsidRDefault="00223EC7"/>
        </w:tc>
        <w:tc>
          <w:tcPr>
            <w:tcW w:w="11700" w:type="dxa"/>
          </w:tcPr>
          <w:p w:rsidR="00223EC7" w:rsidRDefault="00223EC7"/>
        </w:tc>
      </w:tr>
    </w:tbl>
    <w:p w:rsidR="00F53AA7" w:rsidRDefault="00F53AA7"/>
    <w:p w:rsidR="00174097" w:rsidRDefault="00174097"/>
    <w:p w:rsidR="00174097" w:rsidRDefault="00174097"/>
    <w:p w:rsidR="00174097" w:rsidRDefault="00174097"/>
    <w:sectPr w:rsidR="00174097" w:rsidSect="00355BD9">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016" w:rsidRDefault="00D31016" w:rsidP="00351C8C">
      <w:pPr>
        <w:spacing w:after="0" w:line="240" w:lineRule="auto"/>
      </w:pPr>
      <w:r>
        <w:separator/>
      </w:r>
    </w:p>
  </w:endnote>
  <w:endnote w:type="continuationSeparator" w:id="0">
    <w:p w:rsidR="00D31016" w:rsidRDefault="00D31016" w:rsidP="00351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016" w:rsidRDefault="00D31016" w:rsidP="00351C8C">
      <w:pPr>
        <w:spacing w:after="0" w:line="240" w:lineRule="auto"/>
      </w:pPr>
      <w:r>
        <w:separator/>
      </w:r>
    </w:p>
  </w:footnote>
  <w:footnote w:type="continuationSeparator" w:id="0">
    <w:p w:rsidR="00D31016" w:rsidRDefault="00D31016" w:rsidP="00351C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B2E" w:rsidRPr="00351C8C" w:rsidRDefault="004E7B2E">
    <w:pPr>
      <w:pStyle w:val="Header"/>
      <w:rPr>
        <w:sz w:val="32"/>
      </w:rPr>
    </w:pPr>
    <w:r w:rsidRPr="00351C8C">
      <w:rPr>
        <w:sz w:val="32"/>
      </w:rPr>
      <w:t xml:space="preserve">House Bill 64- </w:t>
    </w:r>
    <w:proofErr w:type="gramStart"/>
    <w:r w:rsidRPr="00351C8C">
      <w:rPr>
        <w:sz w:val="32"/>
      </w:rPr>
      <w:t>Provisions</w:t>
    </w:r>
    <w:r>
      <w:rPr>
        <w:sz w:val="32"/>
      </w:rPr>
      <w:t>(</w:t>
    </w:r>
    <w:proofErr w:type="gramEnd"/>
    <w:r>
      <w:rPr>
        <w:sz w:val="32"/>
      </w:rPr>
      <w:t>3314)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13DC"/>
    <w:multiLevelType w:val="hybridMultilevel"/>
    <w:tmpl w:val="8716DC32"/>
    <w:lvl w:ilvl="0" w:tplc="9CCE122C">
      <w:start w:val="33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25E26"/>
    <w:multiLevelType w:val="hybridMultilevel"/>
    <w:tmpl w:val="C6A09DE0"/>
    <w:lvl w:ilvl="0" w:tplc="FA5054B2">
      <w:start w:val="33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5338AC"/>
    <w:multiLevelType w:val="hybridMultilevel"/>
    <w:tmpl w:val="412203A8"/>
    <w:lvl w:ilvl="0" w:tplc="6FF81C2C">
      <w:start w:val="33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437FC5"/>
    <w:multiLevelType w:val="hybridMultilevel"/>
    <w:tmpl w:val="F7CCD9C8"/>
    <w:lvl w:ilvl="0" w:tplc="C99C15AE">
      <w:start w:val="33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C8C"/>
    <w:rsid w:val="000A20DF"/>
    <w:rsid w:val="00174097"/>
    <w:rsid w:val="00223EC7"/>
    <w:rsid w:val="002A0A88"/>
    <w:rsid w:val="002C097A"/>
    <w:rsid w:val="002D3629"/>
    <w:rsid w:val="00351C8C"/>
    <w:rsid w:val="00355BD9"/>
    <w:rsid w:val="00420BDE"/>
    <w:rsid w:val="004E7B2E"/>
    <w:rsid w:val="00533C74"/>
    <w:rsid w:val="005D5ADA"/>
    <w:rsid w:val="007877D2"/>
    <w:rsid w:val="00C3449B"/>
    <w:rsid w:val="00C834F0"/>
    <w:rsid w:val="00CD62AC"/>
    <w:rsid w:val="00D31016"/>
    <w:rsid w:val="00D74095"/>
    <w:rsid w:val="00E95792"/>
    <w:rsid w:val="00F53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C8C"/>
  </w:style>
  <w:style w:type="paragraph" w:styleId="Footer">
    <w:name w:val="footer"/>
    <w:basedOn w:val="Normal"/>
    <w:link w:val="FooterChar"/>
    <w:uiPriority w:val="99"/>
    <w:unhideWhenUsed/>
    <w:rsid w:val="00351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C8C"/>
  </w:style>
  <w:style w:type="table" w:styleId="TableGrid">
    <w:name w:val="Table Grid"/>
    <w:basedOn w:val="TableNormal"/>
    <w:uiPriority w:val="59"/>
    <w:rsid w:val="00351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5B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C8C"/>
  </w:style>
  <w:style w:type="paragraph" w:styleId="Footer">
    <w:name w:val="footer"/>
    <w:basedOn w:val="Normal"/>
    <w:link w:val="FooterChar"/>
    <w:uiPriority w:val="99"/>
    <w:unhideWhenUsed/>
    <w:rsid w:val="00351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C8C"/>
  </w:style>
  <w:style w:type="table" w:styleId="TableGrid">
    <w:name w:val="Table Grid"/>
    <w:basedOn w:val="TableNormal"/>
    <w:uiPriority w:val="59"/>
    <w:rsid w:val="00351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5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Trint.Hatt</dc:creator>
  <cp:lastModifiedBy>Trint.Hatt</cp:lastModifiedBy>
  <cp:revision>3</cp:revision>
  <dcterms:created xsi:type="dcterms:W3CDTF">2015-03-06T19:30:00Z</dcterms:created>
  <dcterms:modified xsi:type="dcterms:W3CDTF">2015-03-06T19:30:00Z</dcterms:modified>
</cp:coreProperties>
</file>