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D3" w:rsidRPr="003967D3" w:rsidRDefault="003967D3" w:rsidP="003967D3">
      <w:pPr>
        <w:pStyle w:val="Title"/>
        <w:spacing w:after="160"/>
        <w:rPr>
          <w:rStyle w:val="apple-converted-space"/>
          <w:rFonts w:ascii="Arial" w:hAnsi="Arial" w:cs="Arial"/>
          <w:b/>
          <w:color w:val="365F91" w:themeColor="accent1" w:themeShade="BF"/>
          <w:sz w:val="32"/>
          <w:szCs w:val="32"/>
          <w:shd w:val="clear" w:color="auto" w:fill="FFFFFF"/>
        </w:rPr>
      </w:pPr>
      <w:r w:rsidRPr="003967D3">
        <w:rPr>
          <w:rStyle w:val="apple-converted-space"/>
          <w:rFonts w:ascii="Arial" w:hAnsi="Arial" w:cs="Arial"/>
          <w:b/>
          <w:color w:val="365F91" w:themeColor="accent1" w:themeShade="BF"/>
          <w:sz w:val="32"/>
          <w:szCs w:val="32"/>
          <w:shd w:val="clear" w:color="auto" w:fill="FFFFFF"/>
        </w:rPr>
        <w:t>OTHER OREGON CHANGES</w:t>
      </w:r>
    </w:p>
    <w:p w:rsidR="003967D3" w:rsidRDefault="003967D3" w:rsidP="00A84F98">
      <w:pPr>
        <w:spacing w:after="0" w:line="240" w:lineRule="auto"/>
        <w:rPr>
          <w:rFonts w:ascii="Arial" w:eastAsia="Times New Roman" w:hAnsi="Arial" w:cs="Arial"/>
          <w:b/>
          <w:bCs/>
          <w:i/>
          <w:iCs/>
          <w:color w:val="808080" w:themeColor="background1" w:themeShade="80"/>
          <w:sz w:val="21"/>
          <w:szCs w:val="21"/>
          <w:u w:val="single"/>
          <w:shd w:val="clear" w:color="auto" w:fill="FFFFFF"/>
        </w:rPr>
      </w:pPr>
    </w:p>
    <w:p w:rsidR="00A84F98" w:rsidRPr="000410C9" w:rsidRDefault="00B3613F" w:rsidP="00A84F98">
      <w:pPr>
        <w:spacing w:after="0" w:line="240" w:lineRule="auto"/>
        <w:rPr>
          <w:rFonts w:ascii="Arial" w:eastAsia="Times New Roman" w:hAnsi="Arial" w:cs="Arial"/>
          <w:color w:val="1C1C1C"/>
          <w:sz w:val="21"/>
          <w:szCs w:val="21"/>
        </w:rPr>
      </w:pPr>
      <w:bookmarkStart w:id="0" w:name="_GoBack"/>
      <w:r w:rsidRPr="000410C9">
        <w:rPr>
          <w:rFonts w:ascii="Arial" w:eastAsia="Times New Roman" w:hAnsi="Arial" w:cs="Arial"/>
          <w:b/>
          <w:bCs/>
          <w:i/>
          <w:iCs/>
          <w:color w:val="1C1C1C"/>
          <w:sz w:val="21"/>
          <w:szCs w:val="21"/>
          <w:u w:val="single"/>
          <w:shd w:val="clear" w:color="auto" w:fill="FFFFFF"/>
        </w:rPr>
        <w:t>Oregon Statutes Updated To Utilize Gender-Neutral Descriptions of Marriage</w:t>
      </w:r>
      <w:r w:rsidRPr="000410C9">
        <w:rPr>
          <w:rFonts w:ascii="Arial" w:eastAsia="Times New Roman" w:hAnsi="Arial" w:cs="Arial"/>
          <w:color w:val="1C1C1C"/>
          <w:sz w:val="21"/>
          <w:szCs w:val="21"/>
          <w:shd w:val="clear" w:color="auto" w:fill="FFFFFF"/>
        </w:rPr>
        <w:t> </w:t>
      </w:r>
      <w:r w:rsidRPr="000410C9">
        <w:rPr>
          <w:rFonts w:ascii="Arial" w:eastAsia="Times New Roman" w:hAnsi="Arial" w:cs="Arial"/>
          <w:color w:val="1C1C1C"/>
          <w:sz w:val="21"/>
          <w:szCs w:val="21"/>
        </w:rPr>
        <w:br/>
      </w:r>
      <w:r w:rsidRPr="000410C9">
        <w:rPr>
          <w:rFonts w:ascii="Arial" w:eastAsia="Times New Roman" w:hAnsi="Arial" w:cs="Arial"/>
          <w:color w:val="1C1C1C"/>
          <w:sz w:val="21"/>
          <w:szCs w:val="21"/>
          <w:shd w:val="clear" w:color="auto" w:fill="FFFFFF"/>
        </w:rPr>
        <w:t> </w:t>
      </w:r>
    </w:p>
    <w:p w:rsidR="00B3613F" w:rsidRPr="000410C9" w:rsidRDefault="000410C9" w:rsidP="00E220D2">
      <w:pPr>
        <w:pStyle w:val="ListParagraph"/>
        <w:numPr>
          <w:ilvl w:val="0"/>
          <w:numId w:val="13"/>
        </w:numPr>
        <w:spacing w:after="0" w:line="240" w:lineRule="auto"/>
        <w:ind w:left="360"/>
        <w:rPr>
          <w:rFonts w:ascii="Arial" w:eastAsia="Times New Roman" w:hAnsi="Arial" w:cs="Arial"/>
          <w:color w:val="1C1C1C"/>
          <w:sz w:val="21"/>
          <w:szCs w:val="21"/>
        </w:rPr>
      </w:pPr>
      <w:hyperlink r:id="rId6" w:tgtFrame="_blank" w:history="1">
        <w:r w:rsidR="00B3613F" w:rsidRPr="000410C9">
          <w:rPr>
            <w:rFonts w:ascii="Arial" w:eastAsia="Times New Roman" w:hAnsi="Arial" w:cs="Arial"/>
            <w:color w:val="1C1C1C"/>
            <w:sz w:val="21"/>
            <w:szCs w:val="21"/>
          </w:rPr>
          <w:t>HB 2478 B</w:t>
        </w:r>
      </w:hyperlink>
      <w:r w:rsidR="00A84F98" w:rsidRPr="000410C9">
        <w:rPr>
          <w:rFonts w:ascii="Arial" w:eastAsia="Times New Roman" w:hAnsi="Arial" w:cs="Arial"/>
          <w:color w:val="1C1C1C"/>
          <w:sz w:val="21"/>
          <w:szCs w:val="21"/>
        </w:rPr>
        <w:t>, e</w:t>
      </w:r>
      <w:r w:rsidR="00B3613F" w:rsidRPr="000410C9">
        <w:rPr>
          <w:rFonts w:ascii="Arial" w:eastAsia="Times New Roman" w:hAnsi="Arial" w:cs="Arial"/>
          <w:color w:val="1C1C1C"/>
          <w:sz w:val="21"/>
          <w:szCs w:val="21"/>
        </w:rPr>
        <w:t>ffective January 1, 2016.</w:t>
      </w:r>
    </w:p>
    <w:p w:rsidR="003967D3" w:rsidRPr="000410C9" w:rsidRDefault="00B3613F" w:rsidP="00B3613F">
      <w:pPr>
        <w:spacing w:after="0" w:line="240" w:lineRule="auto"/>
        <w:rPr>
          <w:rFonts w:ascii="Arial" w:eastAsia="Times New Roman" w:hAnsi="Arial" w:cs="Arial"/>
          <w:color w:val="1C1C1C"/>
          <w:sz w:val="21"/>
          <w:szCs w:val="21"/>
          <w:shd w:val="clear" w:color="auto" w:fill="FFFFFF"/>
        </w:rPr>
      </w:pPr>
      <w:r w:rsidRPr="000410C9">
        <w:rPr>
          <w:rFonts w:ascii="Arial" w:eastAsia="Times New Roman" w:hAnsi="Arial" w:cs="Arial"/>
          <w:color w:val="1C1C1C"/>
          <w:sz w:val="21"/>
          <w:szCs w:val="21"/>
        </w:rPr>
        <w:br/>
      </w:r>
      <w:r w:rsidRPr="000410C9">
        <w:rPr>
          <w:rFonts w:ascii="Arial" w:eastAsia="Times New Roman" w:hAnsi="Arial" w:cs="Arial"/>
          <w:color w:val="1C1C1C"/>
          <w:sz w:val="21"/>
          <w:szCs w:val="21"/>
          <w:shd w:val="clear" w:color="auto" w:fill="FFFFFF"/>
        </w:rPr>
        <w:t>HB 2478 B will amend and modernize Oregon law by replacing references to marriages between a “husband and wife” with gender neutral references to “spouses married to each other.”  The intent of the law is to eliminate gender-based statutory language where gender distinction has no policy impact.  The law will amend statutes related to real property, tax and estates, civil rights, parental obligations, and dissolutions of marriage. </w:t>
      </w:r>
    </w:p>
    <w:p w:rsidR="00B3613F" w:rsidRPr="000410C9" w:rsidRDefault="00B3613F" w:rsidP="00B3613F">
      <w:pPr>
        <w:spacing w:after="0" w:line="240" w:lineRule="auto"/>
        <w:rPr>
          <w:rFonts w:ascii="Arial" w:eastAsia="Times New Roman" w:hAnsi="Arial" w:cs="Arial"/>
          <w:color w:val="1C1C1C"/>
          <w:sz w:val="10"/>
          <w:szCs w:val="10"/>
        </w:rPr>
      </w:pPr>
      <w:r w:rsidRPr="000410C9">
        <w:rPr>
          <w:rFonts w:ascii="Arial" w:eastAsia="Times New Roman" w:hAnsi="Arial" w:cs="Arial"/>
          <w:color w:val="1C1C1C"/>
          <w:sz w:val="14"/>
          <w:szCs w:val="21"/>
        </w:rPr>
        <w:br/>
      </w:r>
      <w:r w:rsidRPr="000410C9">
        <w:rPr>
          <w:rFonts w:ascii="Arial" w:eastAsia="Times New Roman" w:hAnsi="Arial" w:cs="Arial"/>
          <w:color w:val="1C1C1C"/>
          <w:sz w:val="14"/>
          <w:szCs w:val="21"/>
        </w:rPr>
        <w:br/>
      </w:r>
      <w:r w:rsidRPr="000410C9">
        <w:rPr>
          <w:rFonts w:ascii="Arial" w:eastAsia="Times New Roman" w:hAnsi="Arial" w:cs="Arial"/>
          <w:b/>
          <w:bCs/>
          <w:i/>
          <w:iCs/>
          <w:color w:val="1C1C1C"/>
          <w:sz w:val="21"/>
          <w:szCs w:val="21"/>
          <w:u w:val="single"/>
          <w:shd w:val="clear" w:color="auto" w:fill="FFFFFF"/>
        </w:rPr>
        <w:t>OFLA Amended To Require Continuation Coverage for Employees on Leave</w:t>
      </w:r>
      <w:r w:rsidRPr="000410C9">
        <w:rPr>
          <w:rFonts w:ascii="Arial" w:eastAsia="Times New Roman" w:hAnsi="Arial" w:cs="Arial"/>
          <w:i/>
          <w:iCs/>
          <w:color w:val="1C1C1C"/>
          <w:sz w:val="21"/>
          <w:szCs w:val="21"/>
          <w:u w:val="single"/>
          <w:shd w:val="clear" w:color="auto" w:fill="FFFFFF"/>
        </w:rPr>
        <w:t> </w:t>
      </w:r>
      <w:r w:rsidRPr="000410C9">
        <w:rPr>
          <w:rFonts w:ascii="Arial" w:eastAsia="Times New Roman" w:hAnsi="Arial" w:cs="Arial"/>
          <w:color w:val="1C1C1C"/>
          <w:sz w:val="21"/>
          <w:szCs w:val="21"/>
        </w:rPr>
        <w:br/>
      </w:r>
      <w:r w:rsidRPr="000410C9">
        <w:rPr>
          <w:rFonts w:ascii="Arial" w:eastAsia="Times New Roman" w:hAnsi="Arial" w:cs="Arial"/>
          <w:color w:val="1C1C1C"/>
          <w:sz w:val="21"/>
          <w:szCs w:val="21"/>
          <w:shd w:val="clear" w:color="auto" w:fill="FFFFFF"/>
        </w:rPr>
        <w:t> </w:t>
      </w:r>
    </w:p>
    <w:p w:rsidR="00B3613F" w:rsidRPr="000410C9" w:rsidRDefault="000410C9" w:rsidP="00530BA3">
      <w:pPr>
        <w:numPr>
          <w:ilvl w:val="0"/>
          <w:numId w:val="9"/>
        </w:numPr>
        <w:shd w:val="clear" w:color="auto" w:fill="FFFFFF"/>
        <w:spacing w:after="120" w:line="255" w:lineRule="atLeast"/>
        <w:ind w:left="360"/>
        <w:rPr>
          <w:rFonts w:ascii="Arial" w:eastAsia="Times New Roman" w:hAnsi="Arial" w:cs="Arial"/>
          <w:color w:val="1C1C1C"/>
          <w:sz w:val="21"/>
          <w:szCs w:val="21"/>
        </w:rPr>
      </w:pPr>
      <w:hyperlink r:id="rId7" w:tgtFrame="_blank" w:history="1">
        <w:r w:rsidR="00B3613F" w:rsidRPr="000410C9">
          <w:rPr>
            <w:rFonts w:ascii="Arial" w:eastAsia="Times New Roman" w:hAnsi="Arial" w:cs="Arial"/>
            <w:color w:val="1C1C1C"/>
            <w:sz w:val="21"/>
            <w:szCs w:val="21"/>
          </w:rPr>
          <w:t>HB 2600</w:t>
        </w:r>
      </w:hyperlink>
      <w:r w:rsidR="00A84F98" w:rsidRPr="000410C9">
        <w:rPr>
          <w:rFonts w:ascii="Arial" w:eastAsia="Times New Roman" w:hAnsi="Arial" w:cs="Arial"/>
          <w:color w:val="1C1C1C"/>
          <w:sz w:val="21"/>
          <w:szCs w:val="21"/>
        </w:rPr>
        <w:t>, e</w:t>
      </w:r>
      <w:r w:rsidR="00B3613F" w:rsidRPr="000410C9">
        <w:rPr>
          <w:rFonts w:ascii="Arial" w:eastAsia="Times New Roman" w:hAnsi="Arial" w:cs="Arial"/>
          <w:color w:val="1C1C1C"/>
          <w:sz w:val="21"/>
          <w:szCs w:val="21"/>
        </w:rPr>
        <w:t>ffective January 1, 2016.</w:t>
      </w:r>
    </w:p>
    <w:p w:rsidR="007F141A" w:rsidRPr="000410C9" w:rsidRDefault="00B3613F" w:rsidP="00B3613F">
      <w:pPr>
        <w:spacing w:after="0" w:line="240" w:lineRule="auto"/>
        <w:rPr>
          <w:rFonts w:ascii="Arial" w:eastAsia="Times New Roman" w:hAnsi="Arial" w:cs="Arial"/>
          <w:color w:val="1C1C1C"/>
          <w:sz w:val="21"/>
          <w:szCs w:val="21"/>
          <w:shd w:val="clear" w:color="auto" w:fill="FFFFFF"/>
        </w:rPr>
      </w:pPr>
      <w:r w:rsidRPr="000410C9">
        <w:rPr>
          <w:rFonts w:ascii="Arial" w:eastAsia="Times New Roman" w:hAnsi="Arial" w:cs="Arial"/>
          <w:color w:val="1C1C1C"/>
          <w:sz w:val="21"/>
          <w:szCs w:val="21"/>
          <w:shd w:val="clear" w:color="auto" w:fill="FFFFFF"/>
        </w:rPr>
        <w:t xml:space="preserve">HB 2600 </w:t>
      </w:r>
      <w:r w:rsidR="0042614F" w:rsidRPr="000410C9">
        <w:rPr>
          <w:rFonts w:ascii="Arial" w:eastAsia="Times New Roman" w:hAnsi="Arial" w:cs="Arial"/>
          <w:color w:val="1C1C1C"/>
          <w:sz w:val="21"/>
          <w:szCs w:val="21"/>
          <w:shd w:val="clear" w:color="auto" w:fill="FFFFFF"/>
        </w:rPr>
        <w:t>makes a law wherein an</w:t>
      </w:r>
      <w:r w:rsidRPr="000410C9">
        <w:rPr>
          <w:rFonts w:ascii="Arial" w:eastAsia="Times New Roman" w:hAnsi="Arial" w:cs="Arial"/>
          <w:color w:val="1C1C1C"/>
          <w:sz w:val="21"/>
          <w:szCs w:val="21"/>
          <w:shd w:val="clear" w:color="auto" w:fill="FFFFFF"/>
        </w:rPr>
        <w:t xml:space="preserve"> OFLA covered employer (one with 25 or more employees) that provides group health plan coverage to its employees will be required to continue offering an employee the same coverage, under the same terms (including with respect to any coverage provided to spouses and dependents of the employee), while the employee is on family leave under OFLA, in the same manner as if the employee had continued to work.  </w:t>
      </w:r>
      <w:r w:rsidRPr="000410C9">
        <w:rPr>
          <w:rFonts w:ascii="Arial" w:eastAsia="Times New Roman" w:hAnsi="Arial" w:cs="Arial"/>
          <w:color w:val="1C1C1C"/>
          <w:sz w:val="21"/>
          <w:szCs w:val="21"/>
        </w:rPr>
        <w:br/>
      </w:r>
      <w:r w:rsidR="00530BA3" w:rsidRPr="000410C9">
        <w:rPr>
          <w:rFonts w:ascii="Arial" w:eastAsia="Times New Roman" w:hAnsi="Arial" w:cs="Arial"/>
          <w:color w:val="1C1C1C"/>
          <w:sz w:val="10"/>
          <w:szCs w:val="21"/>
        </w:rPr>
        <w:t xml:space="preserve"> </w:t>
      </w:r>
      <w:r w:rsidRPr="000410C9">
        <w:rPr>
          <w:rFonts w:ascii="Arial" w:eastAsia="Times New Roman" w:hAnsi="Arial" w:cs="Arial"/>
          <w:color w:val="1C1C1C"/>
          <w:sz w:val="10"/>
          <w:szCs w:val="10"/>
        </w:rPr>
        <w:br/>
      </w:r>
      <w:r w:rsidRPr="000410C9">
        <w:rPr>
          <w:rFonts w:ascii="Arial" w:eastAsia="Times New Roman" w:hAnsi="Arial" w:cs="Arial"/>
          <w:color w:val="1C1C1C"/>
          <w:sz w:val="21"/>
          <w:szCs w:val="21"/>
          <w:shd w:val="clear" w:color="auto" w:fill="FFFFFF"/>
        </w:rPr>
        <w:t>The FMLA, which applies to employers of 50 or more, already requires this</w:t>
      </w:r>
      <w:r w:rsidR="003C7363" w:rsidRPr="000410C9">
        <w:rPr>
          <w:rFonts w:ascii="Arial" w:eastAsia="Times New Roman" w:hAnsi="Arial" w:cs="Arial"/>
          <w:color w:val="1C1C1C"/>
          <w:sz w:val="21"/>
          <w:szCs w:val="21"/>
          <w:shd w:val="clear" w:color="auto" w:fill="FFFFFF"/>
        </w:rPr>
        <w:t xml:space="preserve"> coverage.  The</w:t>
      </w:r>
      <w:r w:rsidRPr="000410C9">
        <w:rPr>
          <w:rFonts w:ascii="Arial" w:eastAsia="Times New Roman" w:hAnsi="Arial" w:cs="Arial"/>
          <w:color w:val="1C1C1C"/>
          <w:sz w:val="21"/>
          <w:szCs w:val="21"/>
          <w:shd w:val="clear" w:color="auto" w:fill="FFFFFF"/>
        </w:rPr>
        <w:t xml:space="preserve"> real impact of this amendment will be to require employers of 25 to 49 employees to provide continuation coverage.  </w:t>
      </w:r>
    </w:p>
    <w:p w:rsidR="00B3613F" w:rsidRPr="000410C9" w:rsidRDefault="00530BA3" w:rsidP="00B3613F">
      <w:pPr>
        <w:spacing w:after="0" w:line="240" w:lineRule="auto"/>
        <w:rPr>
          <w:rFonts w:ascii="Arial" w:eastAsia="Times New Roman" w:hAnsi="Arial" w:cs="Arial"/>
          <w:color w:val="1C1C1C"/>
          <w:sz w:val="10"/>
          <w:szCs w:val="10"/>
        </w:rPr>
      </w:pPr>
      <w:r w:rsidRPr="000410C9">
        <w:rPr>
          <w:rFonts w:ascii="Arial" w:eastAsia="Times New Roman" w:hAnsi="Arial" w:cs="Arial"/>
          <w:color w:val="1C1C1C"/>
          <w:sz w:val="14"/>
          <w:szCs w:val="21"/>
        </w:rPr>
        <w:br/>
      </w:r>
      <w:r w:rsidRPr="000410C9">
        <w:rPr>
          <w:rFonts w:ascii="Arial" w:eastAsia="Times New Roman" w:hAnsi="Arial" w:cs="Arial"/>
          <w:color w:val="1C1C1C"/>
          <w:sz w:val="14"/>
          <w:szCs w:val="21"/>
        </w:rPr>
        <w:br/>
      </w:r>
      <w:r w:rsidR="00B3613F" w:rsidRPr="000410C9">
        <w:rPr>
          <w:rFonts w:ascii="Arial" w:eastAsia="Times New Roman" w:hAnsi="Arial" w:cs="Arial"/>
          <w:b/>
          <w:bCs/>
          <w:i/>
          <w:iCs/>
          <w:color w:val="1C1C1C"/>
          <w:sz w:val="21"/>
          <w:szCs w:val="21"/>
          <w:u w:val="single"/>
          <w:shd w:val="clear" w:color="auto" w:fill="FFFFFF"/>
        </w:rPr>
        <w:t>Domestic Violence Leave May Be Supplemented With Any Paid Leave</w:t>
      </w:r>
      <w:r w:rsidR="00B3613F" w:rsidRPr="000410C9">
        <w:rPr>
          <w:rFonts w:ascii="Arial" w:eastAsia="Times New Roman" w:hAnsi="Arial" w:cs="Arial"/>
          <w:color w:val="1C1C1C"/>
          <w:sz w:val="21"/>
          <w:szCs w:val="21"/>
          <w:shd w:val="clear" w:color="auto" w:fill="FFFFFF"/>
        </w:rPr>
        <w:t> </w:t>
      </w:r>
      <w:r w:rsidR="00B3613F" w:rsidRPr="000410C9">
        <w:rPr>
          <w:rFonts w:ascii="Arial" w:eastAsia="Times New Roman" w:hAnsi="Arial" w:cs="Arial"/>
          <w:color w:val="1C1C1C"/>
          <w:sz w:val="21"/>
          <w:szCs w:val="21"/>
        </w:rPr>
        <w:br/>
      </w:r>
      <w:r w:rsidR="00B3613F" w:rsidRPr="000410C9">
        <w:rPr>
          <w:rFonts w:ascii="Arial" w:eastAsia="Times New Roman" w:hAnsi="Arial" w:cs="Arial"/>
          <w:color w:val="1C1C1C"/>
          <w:sz w:val="21"/>
          <w:szCs w:val="21"/>
          <w:shd w:val="clear" w:color="auto" w:fill="FFFFFF"/>
        </w:rPr>
        <w:t> </w:t>
      </w:r>
    </w:p>
    <w:p w:rsidR="00B3613F" w:rsidRPr="000410C9" w:rsidRDefault="000410C9" w:rsidP="00530BA3">
      <w:pPr>
        <w:numPr>
          <w:ilvl w:val="0"/>
          <w:numId w:val="10"/>
        </w:numPr>
        <w:shd w:val="clear" w:color="auto" w:fill="FFFFFF"/>
        <w:spacing w:after="120" w:line="255" w:lineRule="atLeast"/>
        <w:ind w:left="360"/>
        <w:rPr>
          <w:rFonts w:ascii="Arial" w:eastAsia="Times New Roman" w:hAnsi="Arial" w:cs="Arial"/>
          <w:color w:val="1C1C1C"/>
          <w:sz w:val="21"/>
          <w:szCs w:val="21"/>
        </w:rPr>
      </w:pPr>
      <w:hyperlink r:id="rId8" w:tgtFrame="_blank" w:history="1">
        <w:r w:rsidR="00B3613F" w:rsidRPr="000410C9">
          <w:rPr>
            <w:rFonts w:ascii="Arial" w:eastAsia="Times New Roman" w:hAnsi="Arial" w:cs="Arial"/>
            <w:color w:val="1C1C1C"/>
            <w:sz w:val="21"/>
            <w:szCs w:val="21"/>
          </w:rPr>
          <w:t>SB 492</w:t>
        </w:r>
      </w:hyperlink>
      <w:r w:rsidR="00A84F98" w:rsidRPr="000410C9">
        <w:rPr>
          <w:rFonts w:ascii="Arial" w:eastAsia="Times New Roman" w:hAnsi="Arial" w:cs="Arial"/>
          <w:color w:val="1C1C1C"/>
          <w:sz w:val="21"/>
          <w:szCs w:val="21"/>
        </w:rPr>
        <w:t xml:space="preserve">, effective </w:t>
      </w:r>
      <w:r w:rsidR="00B3613F" w:rsidRPr="000410C9">
        <w:rPr>
          <w:rFonts w:ascii="Arial" w:eastAsia="Times New Roman" w:hAnsi="Arial" w:cs="Arial"/>
          <w:color w:val="1C1C1C"/>
          <w:sz w:val="21"/>
          <w:szCs w:val="21"/>
        </w:rPr>
        <w:t>January 1, 2016.</w:t>
      </w:r>
    </w:p>
    <w:p w:rsidR="003C7363" w:rsidRPr="000410C9" w:rsidRDefault="00B3613F" w:rsidP="00530BA3">
      <w:pPr>
        <w:spacing w:after="0"/>
        <w:rPr>
          <w:rFonts w:ascii="Arial" w:eastAsia="Times New Roman" w:hAnsi="Arial" w:cs="Arial"/>
          <w:color w:val="1C1C1C"/>
          <w:sz w:val="21"/>
          <w:szCs w:val="21"/>
          <w:shd w:val="clear" w:color="auto" w:fill="FFFFFF"/>
        </w:rPr>
      </w:pPr>
      <w:r w:rsidRPr="000410C9">
        <w:rPr>
          <w:rFonts w:ascii="Arial" w:eastAsia="Times New Roman" w:hAnsi="Arial" w:cs="Arial"/>
          <w:color w:val="1C1C1C"/>
          <w:sz w:val="21"/>
          <w:szCs w:val="21"/>
          <w:shd w:val="clear" w:color="auto" w:fill="FFFFFF"/>
        </w:rPr>
        <w:t xml:space="preserve">SB </w:t>
      </w:r>
      <w:r w:rsidR="00A84F98" w:rsidRPr="000410C9">
        <w:rPr>
          <w:rFonts w:ascii="Arial" w:eastAsia="Times New Roman" w:hAnsi="Arial" w:cs="Arial"/>
          <w:color w:val="1C1C1C"/>
          <w:sz w:val="21"/>
          <w:szCs w:val="21"/>
          <w:shd w:val="clear" w:color="auto" w:fill="FFFFFF"/>
        </w:rPr>
        <w:t xml:space="preserve">492 </w:t>
      </w:r>
      <w:r w:rsidRPr="000410C9">
        <w:rPr>
          <w:rFonts w:ascii="Arial" w:eastAsia="Times New Roman" w:hAnsi="Arial" w:cs="Arial"/>
          <w:color w:val="1C1C1C"/>
          <w:sz w:val="21"/>
          <w:szCs w:val="21"/>
          <w:shd w:val="clear" w:color="auto" w:fill="FFFFFF"/>
        </w:rPr>
        <w:t>will require employers to permit employees to use accrued sick leave or personal business leave to handle matters related to domestic violence (includ</w:t>
      </w:r>
      <w:r w:rsidR="00823B18" w:rsidRPr="000410C9">
        <w:rPr>
          <w:rFonts w:ascii="Arial" w:eastAsia="Times New Roman" w:hAnsi="Arial" w:cs="Arial"/>
          <w:color w:val="1C1C1C"/>
          <w:sz w:val="21"/>
          <w:szCs w:val="21"/>
          <w:shd w:val="clear" w:color="auto" w:fill="FFFFFF"/>
        </w:rPr>
        <w:t>ing harassment, sexual assault</w:t>
      </w:r>
      <w:r w:rsidR="00FF011B" w:rsidRPr="000410C9">
        <w:rPr>
          <w:rFonts w:ascii="Arial" w:eastAsia="Times New Roman" w:hAnsi="Arial" w:cs="Arial"/>
          <w:color w:val="1C1C1C"/>
          <w:sz w:val="21"/>
          <w:szCs w:val="21"/>
          <w:shd w:val="clear" w:color="auto" w:fill="FFFFFF"/>
        </w:rPr>
        <w:t xml:space="preserve"> </w:t>
      </w:r>
      <w:r w:rsidRPr="000410C9">
        <w:rPr>
          <w:rFonts w:ascii="Arial" w:eastAsia="Times New Roman" w:hAnsi="Arial" w:cs="Arial"/>
          <w:color w:val="1C1C1C"/>
          <w:sz w:val="21"/>
          <w:szCs w:val="21"/>
          <w:shd w:val="clear" w:color="auto" w:fill="FFFFFF"/>
        </w:rPr>
        <w:t>or</w:t>
      </w:r>
      <w:r w:rsidR="00FF011B" w:rsidRPr="000410C9">
        <w:rPr>
          <w:rFonts w:ascii="Arial" w:eastAsia="Times New Roman" w:hAnsi="Arial" w:cs="Arial"/>
          <w:color w:val="1C1C1C"/>
          <w:sz w:val="21"/>
          <w:szCs w:val="21"/>
          <w:shd w:val="clear" w:color="auto" w:fill="FFFFFF"/>
        </w:rPr>
        <w:t xml:space="preserve"> </w:t>
      </w:r>
      <w:r w:rsidRPr="000410C9">
        <w:rPr>
          <w:rFonts w:ascii="Arial" w:eastAsia="Times New Roman" w:hAnsi="Arial" w:cs="Arial"/>
          <w:color w:val="1C1C1C"/>
          <w:sz w:val="21"/>
          <w:szCs w:val="21"/>
          <w:shd w:val="clear" w:color="auto" w:fill="FFFFFF"/>
        </w:rPr>
        <w:t>stalking).  </w:t>
      </w:r>
      <w:r w:rsidRPr="000410C9">
        <w:rPr>
          <w:rFonts w:ascii="Arial" w:eastAsia="Times New Roman" w:hAnsi="Arial" w:cs="Arial"/>
          <w:color w:val="1C1C1C"/>
          <w:sz w:val="21"/>
          <w:szCs w:val="21"/>
        </w:rPr>
        <w:br/>
      </w:r>
      <w:r w:rsidRPr="000410C9">
        <w:rPr>
          <w:rFonts w:ascii="Arial" w:eastAsia="Times New Roman" w:hAnsi="Arial" w:cs="Arial"/>
          <w:color w:val="1C1C1C"/>
          <w:sz w:val="10"/>
          <w:szCs w:val="10"/>
        </w:rPr>
        <w:br/>
      </w:r>
      <w:r w:rsidRPr="000410C9">
        <w:rPr>
          <w:rFonts w:ascii="Arial" w:eastAsia="Times New Roman" w:hAnsi="Arial" w:cs="Arial"/>
          <w:color w:val="1C1C1C"/>
          <w:sz w:val="21"/>
          <w:szCs w:val="21"/>
          <w:shd w:val="clear" w:color="auto" w:fill="FFFFFF"/>
        </w:rPr>
        <w:t xml:space="preserve">Under existing law, employers with six or </w:t>
      </w:r>
      <w:r w:rsidR="007F141A" w:rsidRPr="000410C9">
        <w:rPr>
          <w:rFonts w:ascii="Arial" w:eastAsia="Times New Roman" w:hAnsi="Arial" w:cs="Arial"/>
          <w:color w:val="1C1C1C"/>
          <w:sz w:val="21"/>
          <w:szCs w:val="21"/>
          <w:shd w:val="clear" w:color="auto" w:fill="FFFFFF"/>
        </w:rPr>
        <w:t xml:space="preserve">more </w:t>
      </w:r>
      <w:r w:rsidRPr="000410C9">
        <w:rPr>
          <w:rFonts w:ascii="Arial" w:eastAsia="Times New Roman" w:hAnsi="Arial" w:cs="Arial"/>
          <w:color w:val="1C1C1C"/>
          <w:sz w:val="21"/>
          <w:szCs w:val="21"/>
          <w:shd w:val="clear" w:color="auto" w:fill="FFFFFF"/>
        </w:rPr>
        <w:t xml:space="preserve">employees are required to allow an eligible employee to take leave to seek services, assistance, or treatment if the employee is a victim of domestic violence.  SB 492 will expand the types of paid leave that may be used during leave; in addition to accrued vacation leave or paid leave offered in lieu of vacation, an employee also will be able to use accrued sick leave and personal business leave.  </w:t>
      </w:r>
    </w:p>
    <w:p w:rsidR="00530BA3" w:rsidRPr="000410C9" w:rsidRDefault="00530BA3" w:rsidP="00530BA3">
      <w:pPr>
        <w:spacing w:after="120"/>
        <w:rPr>
          <w:rFonts w:ascii="Arial" w:hAnsi="Arial" w:cs="Arial"/>
          <w:color w:val="1C1C1C"/>
          <w:sz w:val="21"/>
          <w:szCs w:val="21"/>
          <w:u w:val="single"/>
        </w:rPr>
      </w:pPr>
      <w:r w:rsidRPr="000410C9">
        <w:rPr>
          <w:rFonts w:ascii="Arial" w:eastAsia="Times New Roman" w:hAnsi="Arial" w:cs="Arial"/>
          <w:color w:val="1C1C1C"/>
          <w:sz w:val="14"/>
          <w:szCs w:val="21"/>
        </w:rPr>
        <w:br/>
      </w:r>
      <w:r w:rsidRPr="000410C9">
        <w:rPr>
          <w:rFonts w:ascii="Arial" w:eastAsia="Times New Roman" w:hAnsi="Arial" w:cs="Arial"/>
          <w:color w:val="1C1C1C"/>
          <w:sz w:val="14"/>
          <w:szCs w:val="21"/>
        </w:rPr>
        <w:br/>
      </w:r>
      <w:r w:rsidRPr="000410C9">
        <w:rPr>
          <w:rFonts w:ascii="Arial" w:hAnsi="Arial" w:cs="Arial"/>
          <w:b/>
          <w:bCs/>
          <w:color w:val="1C1C1C"/>
          <w:sz w:val="21"/>
          <w:szCs w:val="21"/>
          <w:u w:val="single"/>
        </w:rPr>
        <w:t xml:space="preserve">Noncompetition Agreements Limited to 18 Months </w:t>
      </w:r>
    </w:p>
    <w:p w:rsidR="00530BA3" w:rsidRPr="000410C9" w:rsidRDefault="000410C9" w:rsidP="00530BA3">
      <w:pPr>
        <w:numPr>
          <w:ilvl w:val="0"/>
          <w:numId w:val="10"/>
        </w:numPr>
        <w:shd w:val="clear" w:color="auto" w:fill="FFFFFF"/>
        <w:spacing w:after="120" w:line="255" w:lineRule="atLeast"/>
        <w:ind w:left="360"/>
        <w:rPr>
          <w:rFonts w:ascii="Arial" w:eastAsia="Times New Roman" w:hAnsi="Arial" w:cs="Arial"/>
          <w:color w:val="1C1C1C"/>
          <w:sz w:val="21"/>
          <w:szCs w:val="21"/>
        </w:rPr>
      </w:pPr>
      <w:hyperlink r:id="rId9" w:tgtFrame="_blank" w:history="1">
        <w:r w:rsidR="00530BA3" w:rsidRPr="000410C9">
          <w:rPr>
            <w:rFonts w:ascii="Arial" w:eastAsia="Times New Roman" w:hAnsi="Arial" w:cs="Arial"/>
            <w:color w:val="1C1C1C"/>
            <w:sz w:val="21"/>
            <w:szCs w:val="21"/>
          </w:rPr>
          <w:t>HB 3236</w:t>
        </w:r>
      </w:hyperlink>
      <w:r w:rsidR="00530BA3" w:rsidRPr="000410C9">
        <w:rPr>
          <w:rFonts w:ascii="Arial" w:eastAsia="Times New Roman" w:hAnsi="Arial" w:cs="Arial"/>
          <w:color w:val="1C1C1C"/>
          <w:sz w:val="21"/>
          <w:szCs w:val="21"/>
        </w:rPr>
        <w:t>, effective January 1, 2016.</w:t>
      </w:r>
    </w:p>
    <w:p w:rsidR="00530BA3" w:rsidRPr="000410C9" w:rsidRDefault="00530BA3" w:rsidP="00B3613F">
      <w:pPr>
        <w:rPr>
          <w:rFonts w:ascii="Arial" w:hAnsi="Arial" w:cs="Arial"/>
          <w:color w:val="1C1C1C"/>
          <w:sz w:val="21"/>
          <w:szCs w:val="21"/>
        </w:rPr>
      </w:pPr>
      <w:r w:rsidRPr="000410C9">
        <w:rPr>
          <w:rFonts w:ascii="Arial" w:hAnsi="Arial" w:cs="Arial"/>
          <w:color w:val="1C1C1C"/>
          <w:sz w:val="21"/>
          <w:szCs w:val="21"/>
        </w:rPr>
        <w:t xml:space="preserve">Oregon already regulates the use of noncompetition agreements by statute, limiting them to exempt employees earning more than the median income for a family of four (approximately $74,000 currently), and conditioning enforcement on the employer informing the employee about the agreement “in a written employment offer received by the employee at least two weeks before the first day of the employee’s employment.” The statute places a two-year cap on the duration of the restriction.  House Bill 3236 reduces the maximum enforceable duration of a noncompetition agreement from two years down to 18 months. The revised </w:t>
      </w:r>
      <w:proofErr w:type="gramStart"/>
      <w:r w:rsidRPr="000410C9">
        <w:rPr>
          <w:rFonts w:ascii="Arial" w:hAnsi="Arial" w:cs="Arial"/>
          <w:color w:val="1C1C1C"/>
          <w:sz w:val="21"/>
          <w:szCs w:val="21"/>
        </w:rPr>
        <w:t>law only apply</w:t>
      </w:r>
      <w:proofErr w:type="gramEnd"/>
      <w:r w:rsidRPr="000410C9">
        <w:rPr>
          <w:rFonts w:ascii="Arial" w:hAnsi="Arial" w:cs="Arial"/>
          <w:color w:val="1C1C1C"/>
          <w:sz w:val="21"/>
          <w:szCs w:val="21"/>
        </w:rPr>
        <w:t xml:space="preserve"> to agreements entered into on or after January 1, 2016.</w:t>
      </w:r>
    </w:p>
    <w:bookmarkEnd w:id="0"/>
    <w:p w:rsidR="003967D3" w:rsidRPr="000410C9" w:rsidRDefault="003967D3">
      <w:pPr>
        <w:rPr>
          <w:rFonts w:ascii="Arial" w:hAnsi="Arial" w:cs="Arial"/>
          <w:color w:val="1C1C1C"/>
          <w:sz w:val="21"/>
          <w:szCs w:val="21"/>
        </w:rPr>
      </w:pPr>
    </w:p>
    <w:sectPr w:rsidR="003967D3" w:rsidRPr="000410C9" w:rsidSect="00530BA3">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ECE"/>
    <w:multiLevelType w:val="multilevel"/>
    <w:tmpl w:val="553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1350B"/>
    <w:multiLevelType w:val="multilevel"/>
    <w:tmpl w:val="56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24D38"/>
    <w:multiLevelType w:val="multilevel"/>
    <w:tmpl w:val="512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6BD4"/>
    <w:multiLevelType w:val="multilevel"/>
    <w:tmpl w:val="E8E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8477E"/>
    <w:multiLevelType w:val="multilevel"/>
    <w:tmpl w:val="E452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43524"/>
    <w:multiLevelType w:val="multilevel"/>
    <w:tmpl w:val="DB6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33E0C"/>
    <w:multiLevelType w:val="multilevel"/>
    <w:tmpl w:val="432C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06C72"/>
    <w:multiLevelType w:val="hybridMultilevel"/>
    <w:tmpl w:val="38CE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F06C5"/>
    <w:multiLevelType w:val="hybridMultilevel"/>
    <w:tmpl w:val="34B0AC02"/>
    <w:lvl w:ilvl="0" w:tplc="057A511C">
      <w:start w:val="1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3A57C4"/>
    <w:multiLevelType w:val="hybridMultilevel"/>
    <w:tmpl w:val="705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75FEA"/>
    <w:multiLevelType w:val="multilevel"/>
    <w:tmpl w:val="C712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A82EEF"/>
    <w:multiLevelType w:val="multilevel"/>
    <w:tmpl w:val="8B2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297C0D"/>
    <w:multiLevelType w:val="multilevel"/>
    <w:tmpl w:val="8C0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0"/>
  </w:num>
  <w:num w:numId="4">
    <w:abstractNumId w:val="6"/>
  </w:num>
  <w:num w:numId="5">
    <w:abstractNumId w:val="4"/>
  </w:num>
  <w:num w:numId="6">
    <w:abstractNumId w:val="1"/>
  </w:num>
  <w:num w:numId="7">
    <w:abstractNumId w:val="5"/>
  </w:num>
  <w:num w:numId="8">
    <w:abstractNumId w:val="11"/>
  </w:num>
  <w:num w:numId="9">
    <w:abstractNumId w:val="3"/>
  </w:num>
  <w:num w:numId="10">
    <w:abstractNumId w:val="0"/>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3F"/>
    <w:rsid w:val="000410C9"/>
    <w:rsid w:val="000645DF"/>
    <w:rsid w:val="0007312C"/>
    <w:rsid w:val="0037425D"/>
    <w:rsid w:val="00380203"/>
    <w:rsid w:val="003967D3"/>
    <w:rsid w:val="003A643A"/>
    <w:rsid w:val="003C7363"/>
    <w:rsid w:val="003E3656"/>
    <w:rsid w:val="004044B4"/>
    <w:rsid w:val="0042614F"/>
    <w:rsid w:val="00501B8C"/>
    <w:rsid w:val="00530BA3"/>
    <w:rsid w:val="00542464"/>
    <w:rsid w:val="00543C4B"/>
    <w:rsid w:val="00627B33"/>
    <w:rsid w:val="007F141A"/>
    <w:rsid w:val="00823B18"/>
    <w:rsid w:val="008843F5"/>
    <w:rsid w:val="009135B2"/>
    <w:rsid w:val="00977C93"/>
    <w:rsid w:val="00A84F98"/>
    <w:rsid w:val="00A93B6D"/>
    <w:rsid w:val="00B033AF"/>
    <w:rsid w:val="00B3613F"/>
    <w:rsid w:val="00BD425C"/>
    <w:rsid w:val="00BD7D5F"/>
    <w:rsid w:val="00D16FD9"/>
    <w:rsid w:val="00E220D2"/>
    <w:rsid w:val="00FE4450"/>
    <w:rsid w:val="00FF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96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67D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96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67D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66588">
      <w:bodyDiv w:val="1"/>
      <w:marLeft w:val="0"/>
      <w:marRight w:val="0"/>
      <w:marTop w:val="0"/>
      <w:marBottom w:val="0"/>
      <w:divBdr>
        <w:top w:val="none" w:sz="0" w:space="0" w:color="auto"/>
        <w:left w:val="none" w:sz="0" w:space="0" w:color="auto"/>
        <w:bottom w:val="none" w:sz="0" w:space="0" w:color="auto"/>
        <w:right w:val="none" w:sz="0" w:space="0" w:color="auto"/>
      </w:divBdr>
    </w:div>
    <w:div w:id="1214805175">
      <w:bodyDiv w:val="1"/>
      <w:marLeft w:val="0"/>
      <w:marRight w:val="0"/>
      <w:marTop w:val="0"/>
      <w:marBottom w:val="0"/>
      <w:divBdr>
        <w:top w:val="none" w:sz="0" w:space="0" w:color="auto"/>
        <w:left w:val="none" w:sz="0" w:space="0" w:color="auto"/>
        <w:bottom w:val="none" w:sz="0" w:space="0" w:color="auto"/>
        <w:right w:val="none" w:sz="0" w:space="0" w:color="auto"/>
      </w:divBdr>
    </w:div>
    <w:div w:id="1239746798">
      <w:bodyDiv w:val="1"/>
      <w:marLeft w:val="0"/>
      <w:marRight w:val="0"/>
      <w:marTop w:val="0"/>
      <w:marBottom w:val="0"/>
      <w:divBdr>
        <w:top w:val="none" w:sz="0" w:space="0" w:color="auto"/>
        <w:left w:val="none" w:sz="0" w:space="0" w:color="auto"/>
        <w:bottom w:val="none" w:sz="0" w:space="0" w:color="auto"/>
        <w:right w:val="none" w:sz="0" w:space="0" w:color="auto"/>
      </w:divBdr>
    </w:div>
    <w:div w:id="12767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leg.state.or.us/liz/2015R1/Measures/Overview/SB492" TargetMode="External"/><Relationship Id="rId3" Type="http://schemas.microsoft.com/office/2007/relationships/stylesWithEffects" Target="stylesWithEffects.xml"/><Relationship Id="rId7" Type="http://schemas.openxmlformats.org/officeDocument/2006/relationships/hyperlink" Target="https://olis.leg.state.or.us/liz/2015R1/Measures/Overview/HB2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is.leg.state.or.us/liz/2015R1/Measures/Overview/HB247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lis.leg.state.or.us/liz/2015R1/Measures/Overview/SB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Employers Assoc</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Towne</dc:creator>
  <cp:lastModifiedBy>Becca Wiegand</cp:lastModifiedBy>
  <cp:revision>10</cp:revision>
  <dcterms:created xsi:type="dcterms:W3CDTF">2015-11-25T18:28:00Z</dcterms:created>
  <dcterms:modified xsi:type="dcterms:W3CDTF">2015-11-25T23:28:00Z</dcterms:modified>
</cp:coreProperties>
</file>