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E32" w:rsidRPr="001116AD" w:rsidRDefault="009F7BE0" w:rsidP="005B7E32">
      <w:pPr>
        <w:pStyle w:val="Title"/>
        <w:spacing w:after="160"/>
        <w:rPr>
          <w:rStyle w:val="apple-converted-space"/>
          <w:rFonts w:ascii="Arial" w:hAnsi="Arial" w:cs="Arial"/>
          <w:b/>
          <w:color w:val="365F91" w:themeColor="accent1" w:themeShade="BF"/>
          <w:sz w:val="32"/>
          <w:szCs w:val="32"/>
          <w:shd w:val="clear" w:color="auto" w:fill="FFFFFF"/>
        </w:rPr>
      </w:pPr>
      <w:r>
        <w:rPr>
          <w:rStyle w:val="apple-converted-space"/>
          <w:rFonts w:ascii="Arial" w:hAnsi="Arial" w:cs="Arial"/>
          <w:b/>
          <w:color w:val="365F91" w:themeColor="accent1" w:themeShade="BF"/>
          <w:sz w:val="32"/>
          <w:szCs w:val="32"/>
          <w:shd w:val="clear" w:color="auto" w:fill="FFFFFF"/>
        </w:rPr>
        <w:t>BANNING THE BOX … AND BEYOND</w:t>
      </w:r>
    </w:p>
    <w:p w:rsidR="00A40410" w:rsidRPr="00A40410" w:rsidRDefault="00A40410" w:rsidP="00A40410">
      <w:pPr>
        <w:rPr>
          <w:i/>
          <w:iCs/>
          <w:sz w:val="4"/>
        </w:rPr>
      </w:pPr>
    </w:p>
    <w:p w:rsidR="00A40410" w:rsidRPr="00A40410" w:rsidRDefault="00A40410" w:rsidP="00A40410">
      <w:pPr>
        <w:rPr>
          <w:rFonts w:ascii="Arial" w:hAnsi="Arial" w:cs="Arial"/>
          <w:iCs/>
          <w:sz w:val="24"/>
        </w:rPr>
      </w:pPr>
      <w:r w:rsidRPr="00A40410">
        <w:rPr>
          <w:rFonts w:ascii="Arial" w:hAnsi="Arial" w:cs="Arial"/>
          <w:iCs/>
          <w:sz w:val="24"/>
        </w:rPr>
        <w:t>State of Oregon and City of Portland Pass Laws Impacting Pre-Employment Criminal Information Inquiries</w:t>
      </w:r>
    </w:p>
    <w:p w:rsidR="009F7BE0" w:rsidRPr="00A40410" w:rsidRDefault="009F7BE0" w:rsidP="005B7E32">
      <w:pPr>
        <w:shd w:val="clear" w:color="auto" w:fill="FFFFFF"/>
        <w:spacing w:before="100" w:beforeAutospacing="1" w:after="100" w:afterAutospacing="1" w:line="255" w:lineRule="atLeast"/>
        <w:rPr>
          <w:rFonts w:ascii="Arial" w:hAnsi="Arial" w:cs="Arial"/>
          <w:b/>
          <w:i/>
          <w:u w:val="single"/>
        </w:rPr>
      </w:pPr>
      <w:r w:rsidRPr="00A40410">
        <w:rPr>
          <w:rFonts w:ascii="Arial" w:hAnsi="Arial" w:cs="Arial"/>
          <w:b/>
          <w:i/>
          <w:u w:val="single"/>
        </w:rPr>
        <w:t xml:space="preserve">Oregon </w:t>
      </w:r>
      <w:r w:rsidR="00A40410" w:rsidRPr="00A40410">
        <w:rPr>
          <w:rFonts w:ascii="Arial" w:hAnsi="Arial" w:cs="Arial"/>
          <w:b/>
          <w:i/>
          <w:u w:val="single"/>
        </w:rPr>
        <w:t>“Ban the Box”</w:t>
      </w:r>
    </w:p>
    <w:p w:rsidR="00B3613F" w:rsidRPr="009759DC" w:rsidRDefault="0045000A" w:rsidP="005B7E32">
      <w:pPr>
        <w:shd w:val="clear" w:color="auto" w:fill="FFFFFF"/>
        <w:spacing w:before="100" w:beforeAutospacing="1" w:after="100" w:afterAutospacing="1" w:line="255" w:lineRule="atLeast"/>
        <w:rPr>
          <w:rFonts w:ascii="Arial" w:eastAsia="Times New Roman" w:hAnsi="Arial" w:cs="Arial"/>
          <w:color w:val="1C1C1C"/>
          <w:sz w:val="21"/>
          <w:szCs w:val="21"/>
        </w:rPr>
      </w:pPr>
      <w:hyperlink r:id="rId6" w:tgtFrame="_blank" w:history="1">
        <w:proofErr w:type="gramStart"/>
        <w:r w:rsidR="00B3613F" w:rsidRPr="009759DC">
          <w:rPr>
            <w:rFonts w:ascii="Arial" w:eastAsia="Times New Roman" w:hAnsi="Arial" w:cs="Arial"/>
            <w:color w:val="1C1C1C"/>
            <w:sz w:val="21"/>
            <w:szCs w:val="21"/>
          </w:rPr>
          <w:t>HB 3025 B</w:t>
        </w:r>
      </w:hyperlink>
      <w:r w:rsidR="00A84F98" w:rsidRPr="009759DC">
        <w:rPr>
          <w:rFonts w:ascii="Arial" w:eastAsia="Times New Roman" w:hAnsi="Arial" w:cs="Arial"/>
          <w:color w:val="1C1C1C"/>
          <w:sz w:val="21"/>
          <w:szCs w:val="21"/>
        </w:rPr>
        <w:t>, e</w:t>
      </w:r>
      <w:r w:rsidR="00B3613F" w:rsidRPr="009759DC">
        <w:rPr>
          <w:rFonts w:ascii="Arial" w:eastAsia="Times New Roman" w:hAnsi="Arial" w:cs="Arial"/>
          <w:color w:val="1C1C1C"/>
          <w:sz w:val="21"/>
          <w:szCs w:val="21"/>
        </w:rPr>
        <w:t>ffective January 1, 2016.</w:t>
      </w:r>
      <w:proofErr w:type="gramEnd"/>
    </w:p>
    <w:p w:rsidR="003C7363" w:rsidRPr="009759DC" w:rsidRDefault="00B3613F" w:rsidP="00B3613F">
      <w:pPr>
        <w:spacing w:after="0" w:line="240" w:lineRule="auto"/>
        <w:rPr>
          <w:rFonts w:ascii="Arial" w:eastAsia="Times New Roman" w:hAnsi="Arial" w:cs="Arial"/>
          <w:color w:val="1C1C1C"/>
          <w:sz w:val="21"/>
          <w:szCs w:val="21"/>
          <w:shd w:val="clear" w:color="auto" w:fill="FFFFFF"/>
        </w:rPr>
      </w:pPr>
      <w:r w:rsidRPr="009759DC">
        <w:rPr>
          <w:rFonts w:ascii="Arial" w:eastAsia="Times New Roman" w:hAnsi="Arial" w:cs="Arial"/>
          <w:color w:val="1C1C1C"/>
          <w:sz w:val="21"/>
          <w:szCs w:val="21"/>
          <w:shd w:val="clear" w:color="auto" w:fill="FFFFFF"/>
        </w:rPr>
        <w:t>On January 1, 2016, it will be an unlawful employment practice for an employer “to exclude an applicant from an initial interview solely because of a past c</w:t>
      </w:r>
      <w:r w:rsidR="0042614F" w:rsidRPr="009759DC">
        <w:rPr>
          <w:rFonts w:ascii="Arial" w:eastAsia="Times New Roman" w:hAnsi="Arial" w:cs="Arial"/>
          <w:color w:val="1C1C1C"/>
          <w:sz w:val="21"/>
          <w:szCs w:val="21"/>
          <w:shd w:val="clear" w:color="auto" w:fill="FFFFFF"/>
        </w:rPr>
        <w:t xml:space="preserve">riminal conviction.”   </w:t>
      </w:r>
    </w:p>
    <w:p w:rsidR="003C7363" w:rsidRPr="009759DC" w:rsidRDefault="003C7363" w:rsidP="00B3613F">
      <w:pPr>
        <w:spacing w:after="0" w:line="240" w:lineRule="auto"/>
        <w:rPr>
          <w:rFonts w:ascii="Arial" w:eastAsia="Times New Roman" w:hAnsi="Arial" w:cs="Arial"/>
          <w:color w:val="1C1C1C"/>
          <w:sz w:val="21"/>
          <w:szCs w:val="21"/>
          <w:shd w:val="clear" w:color="auto" w:fill="FFFFFF"/>
        </w:rPr>
      </w:pPr>
    </w:p>
    <w:p w:rsidR="00A40410" w:rsidRDefault="003C7363" w:rsidP="00B3613F">
      <w:pPr>
        <w:spacing w:after="0" w:line="240" w:lineRule="auto"/>
        <w:rPr>
          <w:rFonts w:ascii="Arial" w:eastAsia="Times New Roman" w:hAnsi="Arial" w:cs="Arial"/>
          <w:color w:val="1C1C1C"/>
          <w:sz w:val="21"/>
          <w:szCs w:val="21"/>
          <w:shd w:val="clear" w:color="auto" w:fill="FFFFFF"/>
        </w:rPr>
      </w:pPr>
      <w:r w:rsidRPr="009759DC">
        <w:rPr>
          <w:rFonts w:ascii="Arial" w:eastAsia="Times New Roman" w:hAnsi="Arial" w:cs="Arial"/>
          <w:color w:val="1C1C1C"/>
          <w:sz w:val="21"/>
          <w:szCs w:val="21"/>
          <w:shd w:val="clear" w:color="auto" w:fill="FFFFFF"/>
        </w:rPr>
        <w:t xml:space="preserve">The </w:t>
      </w:r>
      <w:r w:rsidR="00B3613F" w:rsidRPr="009759DC">
        <w:rPr>
          <w:rFonts w:ascii="Arial" w:eastAsia="Times New Roman" w:hAnsi="Arial" w:cs="Arial"/>
          <w:color w:val="1C1C1C"/>
          <w:sz w:val="21"/>
          <w:szCs w:val="21"/>
          <w:shd w:val="clear" w:color="auto" w:fill="FFFFFF"/>
        </w:rPr>
        <w:t>employer will be barred from requiring an applicant to disclose criminal history information on an employment application or prior to an initial interview.  If the hiring process does not include an interview stage, the employer will be barred from requiring an applicant to disclose criminal history information prior to a conditional offer of employment. </w:t>
      </w:r>
      <w:r w:rsidR="00B3613F" w:rsidRPr="009759DC">
        <w:rPr>
          <w:rFonts w:ascii="Arial" w:eastAsia="Times New Roman" w:hAnsi="Arial" w:cs="Arial"/>
          <w:color w:val="1C1C1C"/>
          <w:sz w:val="21"/>
          <w:szCs w:val="21"/>
        </w:rPr>
        <w:br/>
      </w:r>
      <w:r w:rsidR="00B3613F" w:rsidRPr="009759DC">
        <w:rPr>
          <w:rFonts w:ascii="Arial" w:eastAsia="Times New Roman" w:hAnsi="Arial" w:cs="Arial"/>
          <w:color w:val="1C1C1C"/>
          <w:sz w:val="21"/>
          <w:szCs w:val="21"/>
        </w:rPr>
        <w:br/>
      </w:r>
      <w:r w:rsidR="00B3613F" w:rsidRPr="009759DC">
        <w:rPr>
          <w:rFonts w:ascii="Arial" w:eastAsia="Times New Roman" w:hAnsi="Arial" w:cs="Arial"/>
          <w:color w:val="1C1C1C"/>
          <w:sz w:val="21"/>
          <w:szCs w:val="21"/>
          <w:shd w:val="clear" w:color="auto" w:fill="FFFFFF"/>
        </w:rPr>
        <w:t>The law will not apply to</w:t>
      </w:r>
      <w:r w:rsidR="00A40410">
        <w:rPr>
          <w:rFonts w:ascii="Arial" w:eastAsia="Times New Roman" w:hAnsi="Arial" w:cs="Arial"/>
          <w:color w:val="1C1C1C"/>
          <w:sz w:val="21"/>
          <w:szCs w:val="21"/>
          <w:shd w:val="clear" w:color="auto" w:fill="FFFFFF"/>
        </w:rPr>
        <w:t>:</w:t>
      </w:r>
      <w:r w:rsidR="00B3613F" w:rsidRPr="009759DC">
        <w:rPr>
          <w:rFonts w:ascii="Arial" w:eastAsia="Times New Roman" w:hAnsi="Arial" w:cs="Arial"/>
          <w:color w:val="1C1C1C"/>
          <w:sz w:val="21"/>
          <w:szCs w:val="21"/>
          <w:shd w:val="clear" w:color="auto" w:fill="FFFFFF"/>
        </w:rPr>
        <w:t xml:space="preserve"> </w:t>
      </w:r>
    </w:p>
    <w:p w:rsidR="00A40410" w:rsidRPr="00A40410" w:rsidRDefault="00A40410" w:rsidP="00B3613F">
      <w:pPr>
        <w:spacing w:after="0" w:line="240" w:lineRule="auto"/>
        <w:rPr>
          <w:rFonts w:ascii="Arial" w:eastAsia="Times New Roman" w:hAnsi="Arial" w:cs="Arial"/>
          <w:color w:val="1C1C1C"/>
          <w:sz w:val="12"/>
          <w:szCs w:val="21"/>
          <w:shd w:val="clear" w:color="auto" w:fill="FFFFFF"/>
        </w:rPr>
      </w:pPr>
    </w:p>
    <w:p w:rsidR="00A40410" w:rsidRPr="00A40410" w:rsidRDefault="00B3613F" w:rsidP="00A40410">
      <w:pPr>
        <w:pStyle w:val="ListParagraph"/>
        <w:numPr>
          <w:ilvl w:val="0"/>
          <w:numId w:val="13"/>
        </w:numPr>
        <w:spacing w:after="0" w:line="240" w:lineRule="auto"/>
        <w:rPr>
          <w:rFonts w:ascii="Arial" w:eastAsia="Times New Roman" w:hAnsi="Arial" w:cs="Arial"/>
          <w:color w:val="1C1C1C"/>
          <w:sz w:val="21"/>
          <w:szCs w:val="21"/>
          <w:shd w:val="clear" w:color="auto" w:fill="FFFFFF"/>
        </w:rPr>
      </w:pPr>
      <w:r w:rsidRPr="00A40410">
        <w:rPr>
          <w:rFonts w:ascii="Arial" w:eastAsia="Times New Roman" w:hAnsi="Arial" w:cs="Arial"/>
          <w:color w:val="1C1C1C"/>
          <w:sz w:val="21"/>
          <w:szCs w:val="21"/>
          <w:shd w:val="clear" w:color="auto" w:fill="FFFFFF"/>
        </w:rPr>
        <w:t xml:space="preserve">law enforcement agencies and employers in the criminal justice system or </w:t>
      </w:r>
    </w:p>
    <w:p w:rsidR="00FE4450" w:rsidRPr="00A40410" w:rsidRDefault="00B3613F" w:rsidP="00A40410">
      <w:pPr>
        <w:pStyle w:val="ListParagraph"/>
        <w:numPr>
          <w:ilvl w:val="0"/>
          <w:numId w:val="13"/>
        </w:numPr>
        <w:spacing w:after="0" w:line="240" w:lineRule="auto"/>
        <w:rPr>
          <w:rFonts w:ascii="Arial" w:eastAsia="Times New Roman" w:hAnsi="Arial" w:cs="Arial"/>
          <w:color w:val="1C1C1C"/>
          <w:sz w:val="21"/>
          <w:szCs w:val="21"/>
          <w:shd w:val="clear" w:color="auto" w:fill="FFFFFF"/>
        </w:rPr>
      </w:pPr>
      <w:proofErr w:type="gramStart"/>
      <w:r w:rsidRPr="00A40410">
        <w:rPr>
          <w:rFonts w:ascii="Arial" w:eastAsia="Times New Roman" w:hAnsi="Arial" w:cs="Arial"/>
          <w:color w:val="1C1C1C"/>
          <w:sz w:val="21"/>
          <w:szCs w:val="21"/>
          <w:shd w:val="clear" w:color="auto" w:fill="FFFFFF"/>
        </w:rPr>
        <w:t>nonemployee</w:t>
      </w:r>
      <w:proofErr w:type="gramEnd"/>
      <w:r w:rsidRPr="00A40410">
        <w:rPr>
          <w:rFonts w:ascii="Arial" w:eastAsia="Times New Roman" w:hAnsi="Arial" w:cs="Arial"/>
          <w:color w:val="1C1C1C"/>
          <w:sz w:val="21"/>
          <w:szCs w:val="21"/>
          <w:shd w:val="clear" w:color="auto" w:fill="FFFFFF"/>
        </w:rPr>
        <w:t xml:space="preserve"> volunteers. </w:t>
      </w:r>
      <w:r w:rsidRPr="00A40410">
        <w:rPr>
          <w:rFonts w:ascii="Arial" w:eastAsia="Times New Roman" w:hAnsi="Arial" w:cs="Arial"/>
          <w:color w:val="1C1C1C"/>
          <w:sz w:val="21"/>
          <w:szCs w:val="21"/>
        </w:rPr>
        <w:br/>
      </w:r>
    </w:p>
    <w:p w:rsidR="00A40410" w:rsidRDefault="003C7363" w:rsidP="00A40410">
      <w:pPr>
        <w:spacing w:after="0" w:line="240" w:lineRule="auto"/>
        <w:rPr>
          <w:rFonts w:ascii="Arial" w:eastAsia="Times New Roman" w:hAnsi="Arial" w:cs="Arial"/>
          <w:color w:val="1C1C1C"/>
          <w:sz w:val="21"/>
          <w:szCs w:val="21"/>
          <w:shd w:val="clear" w:color="auto" w:fill="FFFFFF"/>
        </w:rPr>
      </w:pPr>
      <w:r w:rsidRPr="009759DC">
        <w:rPr>
          <w:rFonts w:ascii="Arial" w:eastAsia="Times New Roman" w:hAnsi="Arial" w:cs="Arial"/>
          <w:color w:val="1C1C1C"/>
          <w:sz w:val="21"/>
          <w:szCs w:val="21"/>
          <w:shd w:val="clear" w:color="auto" w:fill="FFFFFF"/>
        </w:rPr>
        <w:t>The new law does not prohibit</w:t>
      </w:r>
      <w:r w:rsidR="0042614F" w:rsidRPr="009759DC">
        <w:rPr>
          <w:rFonts w:ascii="Arial" w:eastAsia="Times New Roman" w:hAnsi="Arial" w:cs="Arial"/>
          <w:color w:val="1C1C1C"/>
          <w:sz w:val="21"/>
          <w:szCs w:val="21"/>
          <w:shd w:val="clear" w:color="auto" w:fill="FFFFFF"/>
        </w:rPr>
        <w:t xml:space="preserve"> </w:t>
      </w:r>
      <w:r w:rsidRPr="009759DC">
        <w:rPr>
          <w:rFonts w:ascii="Arial" w:eastAsia="Times New Roman" w:hAnsi="Arial" w:cs="Arial"/>
          <w:color w:val="1C1C1C"/>
          <w:sz w:val="21"/>
          <w:szCs w:val="21"/>
          <w:shd w:val="clear" w:color="auto" w:fill="FFFFFF"/>
        </w:rPr>
        <w:t>employers from refusing</w:t>
      </w:r>
      <w:r w:rsidR="00B3613F" w:rsidRPr="009759DC">
        <w:rPr>
          <w:rFonts w:ascii="Arial" w:eastAsia="Times New Roman" w:hAnsi="Arial" w:cs="Arial"/>
          <w:color w:val="1C1C1C"/>
          <w:sz w:val="21"/>
          <w:szCs w:val="21"/>
          <w:shd w:val="clear" w:color="auto" w:fill="FFFFFF"/>
        </w:rPr>
        <w:t xml:space="preserve"> to hire an applicant based on criminal history.  </w:t>
      </w:r>
      <w:r w:rsidRPr="009759DC">
        <w:rPr>
          <w:rFonts w:ascii="Arial" w:eastAsia="Times New Roman" w:hAnsi="Arial" w:cs="Arial"/>
          <w:color w:val="1C1C1C"/>
          <w:sz w:val="21"/>
          <w:szCs w:val="21"/>
          <w:shd w:val="clear" w:color="auto" w:fill="FFFFFF"/>
        </w:rPr>
        <w:t>A</w:t>
      </w:r>
      <w:r w:rsidR="00B3613F" w:rsidRPr="009759DC">
        <w:rPr>
          <w:rFonts w:ascii="Arial" w:eastAsia="Times New Roman" w:hAnsi="Arial" w:cs="Arial"/>
          <w:color w:val="1C1C1C"/>
          <w:sz w:val="21"/>
          <w:szCs w:val="21"/>
          <w:shd w:val="clear" w:color="auto" w:fill="FFFFFF"/>
        </w:rPr>
        <w:t>n employer will be able to inquire about criminal history during an interview.</w:t>
      </w:r>
      <w:r w:rsidR="00120103">
        <w:rPr>
          <w:rFonts w:ascii="Arial" w:eastAsia="Times New Roman" w:hAnsi="Arial" w:cs="Arial"/>
          <w:color w:val="1C1C1C"/>
          <w:sz w:val="21"/>
          <w:szCs w:val="21"/>
          <w:shd w:val="clear" w:color="auto" w:fill="FFFFFF"/>
        </w:rPr>
        <w:t xml:space="preserve"> An employer may also inquire about criminal history as part of an otherwise compliant background check process.</w:t>
      </w:r>
      <w:r w:rsidR="00B3613F" w:rsidRPr="009759DC">
        <w:rPr>
          <w:rFonts w:ascii="Arial" w:eastAsia="Times New Roman" w:hAnsi="Arial" w:cs="Arial"/>
          <w:color w:val="1C1C1C"/>
          <w:sz w:val="21"/>
          <w:szCs w:val="21"/>
          <w:shd w:val="clear" w:color="auto" w:fill="FFFFFF"/>
        </w:rPr>
        <w:t xml:space="preserve">   </w:t>
      </w:r>
    </w:p>
    <w:p w:rsidR="00A40410" w:rsidRDefault="00A40410" w:rsidP="00A40410">
      <w:pPr>
        <w:spacing w:after="0" w:line="240" w:lineRule="auto"/>
        <w:rPr>
          <w:rFonts w:ascii="Arial" w:eastAsia="Times New Roman" w:hAnsi="Arial" w:cs="Arial"/>
          <w:color w:val="1C1C1C"/>
          <w:sz w:val="21"/>
          <w:szCs w:val="21"/>
          <w:shd w:val="clear" w:color="auto" w:fill="FFFFFF"/>
        </w:rPr>
      </w:pPr>
    </w:p>
    <w:p w:rsidR="00A40410" w:rsidRDefault="00A40410" w:rsidP="00A40410">
      <w:pPr>
        <w:spacing w:after="0" w:line="240" w:lineRule="auto"/>
        <w:rPr>
          <w:rFonts w:ascii="Arial" w:eastAsia="Times New Roman" w:hAnsi="Arial" w:cs="Arial"/>
          <w:color w:val="1C1C1C"/>
          <w:sz w:val="21"/>
          <w:szCs w:val="21"/>
          <w:shd w:val="clear" w:color="auto" w:fill="FFFFFF"/>
        </w:rPr>
      </w:pPr>
      <w:r w:rsidRPr="00A40410">
        <w:rPr>
          <w:rFonts w:ascii="Arial" w:eastAsia="Times New Roman" w:hAnsi="Arial" w:cs="Arial"/>
          <w:color w:val="1C1C1C"/>
          <w:sz w:val="21"/>
          <w:szCs w:val="21"/>
          <w:shd w:val="clear" w:color="auto" w:fill="FFFFFF"/>
        </w:rPr>
        <w:t>Be careful though, Portland’s “Ban the Box” law does prevent an employer from criminal history inquiry during an interview (see below).</w:t>
      </w:r>
    </w:p>
    <w:p w:rsidR="00A40410" w:rsidRPr="00A40410" w:rsidRDefault="00A40410" w:rsidP="00A40410">
      <w:pPr>
        <w:spacing w:after="0" w:line="240" w:lineRule="auto"/>
        <w:rPr>
          <w:rFonts w:ascii="Arial" w:eastAsia="Times New Roman" w:hAnsi="Arial" w:cs="Arial"/>
          <w:color w:val="1C1C1C"/>
          <w:sz w:val="21"/>
          <w:szCs w:val="21"/>
          <w:shd w:val="clear" w:color="auto" w:fill="FFFFFF"/>
        </w:rPr>
      </w:pPr>
    </w:p>
    <w:p w:rsidR="00A40410" w:rsidRPr="00A40410" w:rsidRDefault="00A40410" w:rsidP="00A40410">
      <w:pPr>
        <w:spacing w:after="0" w:line="240" w:lineRule="auto"/>
        <w:rPr>
          <w:rFonts w:ascii="Arial" w:eastAsia="Times New Roman" w:hAnsi="Arial" w:cs="Arial"/>
          <w:color w:val="1C1C1C"/>
          <w:sz w:val="21"/>
          <w:szCs w:val="21"/>
          <w:shd w:val="clear" w:color="auto" w:fill="FFFFFF"/>
        </w:rPr>
      </w:pPr>
    </w:p>
    <w:p w:rsidR="00A40410" w:rsidRDefault="00A40410" w:rsidP="00A40410">
      <w:pPr>
        <w:spacing w:after="0" w:line="240" w:lineRule="auto"/>
        <w:rPr>
          <w:rFonts w:ascii="Arial" w:eastAsia="Times New Roman" w:hAnsi="Arial" w:cs="Arial"/>
          <w:b/>
          <w:i/>
          <w:color w:val="1C1C1C"/>
          <w:szCs w:val="21"/>
          <w:u w:val="single"/>
          <w:shd w:val="clear" w:color="auto" w:fill="FFFFFF"/>
        </w:rPr>
      </w:pPr>
      <w:r w:rsidRPr="00A40410">
        <w:rPr>
          <w:rFonts w:ascii="Arial" w:eastAsia="Times New Roman" w:hAnsi="Arial" w:cs="Arial"/>
          <w:b/>
          <w:i/>
          <w:color w:val="1C1C1C"/>
          <w:szCs w:val="21"/>
          <w:u w:val="single"/>
          <w:shd w:val="clear" w:color="auto" w:fill="FFFFFF"/>
        </w:rPr>
        <w:t>Portland “Ban the Box”</w:t>
      </w:r>
    </w:p>
    <w:p w:rsidR="00A40410" w:rsidRPr="00A40410" w:rsidRDefault="00A40410" w:rsidP="00A40410">
      <w:pPr>
        <w:spacing w:after="0" w:line="240" w:lineRule="auto"/>
        <w:rPr>
          <w:rFonts w:ascii="Arial" w:eastAsia="Times New Roman" w:hAnsi="Arial" w:cs="Arial"/>
          <w:b/>
          <w:i/>
          <w:color w:val="1C1C1C"/>
          <w:szCs w:val="21"/>
          <w:u w:val="single"/>
          <w:shd w:val="clear" w:color="auto" w:fill="FFFFFF"/>
        </w:rPr>
      </w:pPr>
    </w:p>
    <w:p w:rsidR="0045000A" w:rsidRDefault="0045000A" w:rsidP="0045000A">
      <w:pPr>
        <w:spacing w:after="0" w:line="240" w:lineRule="auto"/>
        <w:rPr>
          <w:rFonts w:ascii="Arial" w:eastAsia="Times New Roman" w:hAnsi="Arial" w:cs="Arial"/>
          <w:color w:val="1C1C1C"/>
          <w:sz w:val="21"/>
          <w:szCs w:val="21"/>
          <w:shd w:val="clear" w:color="auto" w:fill="FFFFFF"/>
        </w:rPr>
      </w:pPr>
      <w:r w:rsidRPr="0045000A">
        <w:rPr>
          <w:rFonts w:ascii="Arial" w:eastAsia="Times New Roman" w:hAnsi="Arial" w:cs="Arial"/>
          <w:color w:val="1C1C1C"/>
          <w:sz w:val="21"/>
          <w:szCs w:val="21"/>
          <w:shd w:val="clear" w:color="auto" w:fill="FFFFFF"/>
        </w:rPr>
        <w:t xml:space="preserve">Right before the Thanksgiving holiday, the City of Portland passed a provision taking ‘ban the box’ one step further.  Unlike Oregon, which will allow for conviction inquiries during an interview but not on an application, the City of Portland will require that the employer wait until a conditional offer of employment is made before allowing inquiry into past criminal convictions.  The typical background check process will start after a conditional offer is made, so this won’t change the process for many employers. </w:t>
      </w:r>
    </w:p>
    <w:p w:rsidR="0045000A" w:rsidRPr="0045000A" w:rsidRDefault="0045000A" w:rsidP="0045000A">
      <w:pPr>
        <w:spacing w:after="0" w:line="240" w:lineRule="auto"/>
        <w:rPr>
          <w:rFonts w:ascii="Arial" w:eastAsia="Times New Roman" w:hAnsi="Arial" w:cs="Arial"/>
          <w:color w:val="1C1C1C"/>
          <w:sz w:val="21"/>
          <w:szCs w:val="21"/>
          <w:shd w:val="clear" w:color="auto" w:fill="FFFFFF"/>
        </w:rPr>
      </w:pPr>
    </w:p>
    <w:p w:rsidR="0045000A" w:rsidRPr="0045000A" w:rsidRDefault="0045000A" w:rsidP="0045000A">
      <w:pPr>
        <w:spacing w:after="0" w:line="240" w:lineRule="auto"/>
        <w:rPr>
          <w:rFonts w:ascii="Arial" w:eastAsia="Times New Roman" w:hAnsi="Arial" w:cs="Arial"/>
          <w:color w:val="1C1C1C"/>
          <w:sz w:val="21"/>
          <w:szCs w:val="21"/>
          <w:shd w:val="clear" w:color="auto" w:fill="FFFFFF"/>
        </w:rPr>
      </w:pPr>
      <w:r w:rsidRPr="0045000A">
        <w:rPr>
          <w:rFonts w:ascii="Arial" w:eastAsia="Times New Roman" w:hAnsi="Arial" w:cs="Arial"/>
          <w:color w:val="1C1C1C"/>
          <w:sz w:val="21"/>
          <w:szCs w:val="21"/>
          <w:shd w:val="clear" w:color="auto" w:fill="FFFFFF"/>
        </w:rPr>
        <w:t>The new law does not cover businesses with fewer than six employees. However, any workplace with six or more employees is covered so long as they have workers who perform a majority of their time within the City of Portland (including full-time, part-time, temporary, or seasonal workers).</w:t>
      </w:r>
    </w:p>
    <w:p w:rsidR="0045000A" w:rsidRDefault="0045000A" w:rsidP="0045000A">
      <w:pPr>
        <w:spacing w:after="0" w:line="240" w:lineRule="auto"/>
        <w:rPr>
          <w:rFonts w:ascii="Arial" w:eastAsia="Times New Roman" w:hAnsi="Arial" w:cs="Arial"/>
          <w:color w:val="1C1C1C"/>
          <w:sz w:val="21"/>
          <w:szCs w:val="21"/>
          <w:shd w:val="clear" w:color="auto" w:fill="FFFFFF"/>
        </w:rPr>
      </w:pPr>
    </w:p>
    <w:p w:rsidR="0045000A" w:rsidRPr="0045000A" w:rsidRDefault="0045000A" w:rsidP="0045000A">
      <w:pPr>
        <w:spacing w:after="0" w:line="240" w:lineRule="auto"/>
        <w:rPr>
          <w:rFonts w:ascii="Arial" w:eastAsia="Times New Roman" w:hAnsi="Arial" w:cs="Arial"/>
          <w:color w:val="1C1C1C"/>
          <w:sz w:val="21"/>
          <w:szCs w:val="21"/>
          <w:shd w:val="clear" w:color="auto" w:fill="FFFFFF"/>
        </w:rPr>
      </w:pPr>
      <w:bookmarkStart w:id="0" w:name="_GoBack"/>
      <w:bookmarkEnd w:id="0"/>
      <w:r w:rsidRPr="0045000A">
        <w:rPr>
          <w:rFonts w:ascii="Arial" w:eastAsia="Times New Roman" w:hAnsi="Arial" w:cs="Arial"/>
          <w:color w:val="1C1C1C"/>
          <w:sz w:val="21"/>
          <w:szCs w:val="21"/>
          <w:shd w:val="clear" w:color="auto" w:fill="FFFFFF"/>
        </w:rPr>
        <w:t>Just as with Oregon’s Ban the Box law, certain businesses are excluded from coverage when hiring certain positions.  Those positions include law enforcement, criminal justice, and positions working with children, the elderly, people with disabilities, and other groups considered vulnerable.</w:t>
      </w:r>
    </w:p>
    <w:p w:rsidR="003C7363" w:rsidRPr="005B7E32" w:rsidRDefault="00B3613F" w:rsidP="005B7E32">
      <w:pPr>
        <w:spacing w:after="0" w:line="240" w:lineRule="auto"/>
        <w:rPr>
          <w:rFonts w:ascii="Arial" w:eastAsia="Times New Roman" w:hAnsi="Arial" w:cs="Arial"/>
          <w:color w:val="4D4D4D"/>
          <w:sz w:val="21"/>
          <w:szCs w:val="21"/>
          <w:shd w:val="clear" w:color="auto" w:fill="FFFFFF"/>
        </w:rPr>
      </w:pPr>
      <w:r w:rsidRPr="009759DC">
        <w:rPr>
          <w:rFonts w:ascii="Arial" w:eastAsia="Times New Roman" w:hAnsi="Arial" w:cs="Arial"/>
          <w:color w:val="1C1C1C"/>
          <w:sz w:val="21"/>
          <w:szCs w:val="21"/>
        </w:rPr>
        <w:br/>
      </w:r>
      <w:r w:rsidRPr="009759DC">
        <w:rPr>
          <w:rFonts w:ascii="Arial" w:eastAsia="Times New Roman" w:hAnsi="Arial" w:cs="Arial"/>
          <w:color w:val="1C1C1C"/>
          <w:sz w:val="21"/>
          <w:szCs w:val="21"/>
        </w:rPr>
        <w:br/>
      </w:r>
      <w:r w:rsidR="005B7E32" w:rsidRPr="005B7E32">
        <w:rPr>
          <w:rFonts w:ascii="Arial" w:eastAsia="Times New Roman" w:hAnsi="Arial" w:cs="Arial"/>
          <w:color w:val="4D4D4D"/>
          <w:sz w:val="21"/>
          <w:szCs w:val="21"/>
        </w:rPr>
        <w:t xml:space="preserve"> </w:t>
      </w:r>
    </w:p>
    <w:p w:rsidR="00B3613F" w:rsidRDefault="00B3613F" w:rsidP="00B3613F"/>
    <w:sectPr w:rsidR="00B36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6ECE"/>
    <w:multiLevelType w:val="multilevel"/>
    <w:tmpl w:val="5538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1350B"/>
    <w:multiLevelType w:val="multilevel"/>
    <w:tmpl w:val="56A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B24D38"/>
    <w:multiLevelType w:val="multilevel"/>
    <w:tmpl w:val="5126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FC6BD4"/>
    <w:multiLevelType w:val="multilevel"/>
    <w:tmpl w:val="E8EE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A8477E"/>
    <w:multiLevelType w:val="multilevel"/>
    <w:tmpl w:val="E452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943524"/>
    <w:multiLevelType w:val="multilevel"/>
    <w:tmpl w:val="DB60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733E0C"/>
    <w:multiLevelType w:val="multilevel"/>
    <w:tmpl w:val="432C4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D06C72"/>
    <w:multiLevelType w:val="hybridMultilevel"/>
    <w:tmpl w:val="38CE9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046978"/>
    <w:multiLevelType w:val="hybridMultilevel"/>
    <w:tmpl w:val="D162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5F06C5"/>
    <w:multiLevelType w:val="hybridMultilevel"/>
    <w:tmpl w:val="34B0AC02"/>
    <w:lvl w:ilvl="0" w:tplc="057A511C">
      <w:start w:val="1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075FEA"/>
    <w:multiLevelType w:val="multilevel"/>
    <w:tmpl w:val="C7128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A82EEF"/>
    <w:multiLevelType w:val="multilevel"/>
    <w:tmpl w:val="8B2E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297C0D"/>
    <w:multiLevelType w:val="multilevel"/>
    <w:tmpl w:val="8C06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10"/>
  </w:num>
  <w:num w:numId="4">
    <w:abstractNumId w:val="6"/>
  </w:num>
  <w:num w:numId="5">
    <w:abstractNumId w:val="4"/>
  </w:num>
  <w:num w:numId="6">
    <w:abstractNumId w:val="1"/>
  </w:num>
  <w:num w:numId="7">
    <w:abstractNumId w:val="5"/>
  </w:num>
  <w:num w:numId="8">
    <w:abstractNumId w:val="11"/>
  </w:num>
  <w:num w:numId="9">
    <w:abstractNumId w:val="3"/>
  </w:num>
  <w:num w:numId="10">
    <w:abstractNumId w:val="0"/>
  </w:num>
  <w:num w:numId="11">
    <w:abstractNumId w:val="7"/>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13F"/>
    <w:rsid w:val="00120103"/>
    <w:rsid w:val="00131CF6"/>
    <w:rsid w:val="0037425D"/>
    <w:rsid w:val="00380203"/>
    <w:rsid w:val="00392F35"/>
    <w:rsid w:val="003C7363"/>
    <w:rsid w:val="003E3656"/>
    <w:rsid w:val="0042614F"/>
    <w:rsid w:val="0045000A"/>
    <w:rsid w:val="00501B8C"/>
    <w:rsid w:val="00542464"/>
    <w:rsid w:val="00543C4B"/>
    <w:rsid w:val="005B7E32"/>
    <w:rsid w:val="00627B33"/>
    <w:rsid w:val="007F141A"/>
    <w:rsid w:val="00823B18"/>
    <w:rsid w:val="008843F5"/>
    <w:rsid w:val="009135B2"/>
    <w:rsid w:val="009759DC"/>
    <w:rsid w:val="00977C93"/>
    <w:rsid w:val="009F7BE0"/>
    <w:rsid w:val="00A40410"/>
    <w:rsid w:val="00A84F98"/>
    <w:rsid w:val="00A93B6D"/>
    <w:rsid w:val="00B033AF"/>
    <w:rsid w:val="00B3613F"/>
    <w:rsid w:val="00BD425C"/>
    <w:rsid w:val="00BD7D5F"/>
    <w:rsid w:val="00EC1E32"/>
    <w:rsid w:val="00FE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73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3613F"/>
  </w:style>
  <w:style w:type="character" w:styleId="Hyperlink">
    <w:name w:val="Hyperlink"/>
    <w:basedOn w:val="DefaultParagraphFont"/>
    <w:uiPriority w:val="99"/>
    <w:semiHidden/>
    <w:unhideWhenUsed/>
    <w:rsid w:val="00B3613F"/>
    <w:rPr>
      <w:color w:val="0000FF"/>
      <w:u w:val="single"/>
    </w:rPr>
  </w:style>
  <w:style w:type="character" w:styleId="Strong">
    <w:name w:val="Strong"/>
    <w:basedOn w:val="DefaultParagraphFont"/>
    <w:uiPriority w:val="22"/>
    <w:qFormat/>
    <w:rsid w:val="00B3613F"/>
    <w:rPr>
      <w:b/>
      <w:bCs/>
    </w:rPr>
  </w:style>
  <w:style w:type="character" w:styleId="Emphasis">
    <w:name w:val="Emphasis"/>
    <w:basedOn w:val="DefaultParagraphFont"/>
    <w:uiPriority w:val="20"/>
    <w:qFormat/>
    <w:rsid w:val="00B3613F"/>
    <w:rPr>
      <w:i/>
      <w:iCs/>
    </w:rPr>
  </w:style>
  <w:style w:type="paragraph" w:styleId="ListParagraph">
    <w:name w:val="List Paragraph"/>
    <w:basedOn w:val="Normal"/>
    <w:uiPriority w:val="34"/>
    <w:qFormat/>
    <w:rsid w:val="00823B18"/>
    <w:pPr>
      <w:ind w:left="720"/>
      <w:contextualSpacing/>
    </w:pPr>
  </w:style>
  <w:style w:type="character" w:customStyle="1" w:styleId="Heading1Char">
    <w:name w:val="Heading 1 Char"/>
    <w:basedOn w:val="DefaultParagraphFont"/>
    <w:link w:val="Heading1"/>
    <w:uiPriority w:val="9"/>
    <w:rsid w:val="003C736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B7E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B7E3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73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3613F"/>
  </w:style>
  <w:style w:type="character" w:styleId="Hyperlink">
    <w:name w:val="Hyperlink"/>
    <w:basedOn w:val="DefaultParagraphFont"/>
    <w:uiPriority w:val="99"/>
    <w:semiHidden/>
    <w:unhideWhenUsed/>
    <w:rsid w:val="00B3613F"/>
    <w:rPr>
      <w:color w:val="0000FF"/>
      <w:u w:val="single"/>
    </w:rPr>
  </w:style>
  <w:style w:type="character" w:styleId="Strong">
    <w:name w:val="Strong"/>
    <w:basedOn w:val="DefaultParagraphFont"/>
    <w:uiPriority w:val="22"/>
    <w:qFormat/>
    <w:rsid w:val="00B3613F"/>
    <w:rPr>
      <w:b/>
      <w:bCs/>
    </w:rPr>
  </w:style>
  <w:style w:type="character" w:styleId="Emphasis">
    <w:name w:val="Emphasis"/>
    <w:basedOn w:val="DefaultParagraphFont"/>
    <w:uiPriority w:val="20"/>
    <w:qFormat/>
    <w:rsid w:val="00B3613F"/>
    <w:rPr>
      <w:i/>
      <w:iCs/>
    </w:rPr>
  </w:style>
  <w:style w:type="paragraph" w:styleId="ListParagraph">
    <w:name w:val="List Paragraph"/>
    <w:basedOn w:val="Normal"/>
    <w:uiPriority w:val="34"/>
    <w:qFormat/>
    <w:rsid w:val="00823B18"/>
    <w:pPr>
      <w:ind w:left="720"/>
      <w:contextualSpacing/>
    </w:pPr>
  </w:style>
  <w:style w:type="character" w:customStyle="1" w:styleId="Heading1Char">
    <w:name w:val="Heading 1 Char"/>
    <w:basedOn w:val="DefaultParagraphFont"/>
    <w:link w:val="Heading1"/>
    <w:uiPriority w:val="9"/>
    <w:rsid w:val="003C736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B7E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B7E3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0390">
      <w:bodyDiv w:val="1"/>
      <w:marLeft w:val="0"/>
      <w:marRight w:val="0"/>
      <w:marTop w:val="0"/>
      <w:marBottom w:val="0"/>
      <w:divBdr>
        <w:top w:val="none" w:sz="0" w:space="0" w:color="auto"/>
        <w:left w:val="none" w:sz="0" w:space="0" w:color="auto"/>
        <w:bottom w:val="none" w:sz="0" w:space="0" w:color="auto"/>
        <w:right w:val="none" w:sz="0" w:space="0" w:color="auto"/>
      </w:divBdr>
    </w:div>
    <w:div w:id="236398982">
      <w:bodyDiv w:val="1"/>
      <w:marLeft w:val="0"/>
      <w:marRight w:val="0"/>
      <w:marTop w:val="0"/>
      <w:marBottom w:val="0"/>
      <w:divBdr>
        <w:top w:val="none" w:sz="0" w:space="0" w:color="auto"/>
        <w:left w:val="none" w:sz="0" w:space="0" w:color="auto"/>
        <w:bottom w:val="none" w:sz="0" w:space="0" w:color="auto"/>
        <w:right w:val="none" w:sz="0" w:space="0" w:color="auto"/>
      </w:divBdr>
    </w:div>
    <w:div w:id="850074026">
      <w:bodyDiv w:val="1"/>
      <w:marLeft w:val="0"/>
      <w:marRight w:val="0"/>
      <w:marTop w:val="0"/>
      <w:marBottom w:val="0"/>
      <w:divBdr>
        <w:top w:val="none" w:sz="0" w:space="0" w:color="auto"/>
        <w:left w:val="none" w:sz="0" w:space="0" w:color="auto"/>
        <w:bottom w:val="none" w:sz="0" w:space="0" w:color="auto"/>
        <w:right w:val="none" w:sz="0" w:space="0" w:color="auto"/>
      </w:divBdr>
    </w:div>
    <w:div w:id="1236356632">
      <w:bodyDiv w:val="1"/>
      <w:marLeft w:val="0"/>
      <w:marRight w:val="0"/>
      <w:marTop w:val="0"/>
      <w:marBottom w:val="0"/>
      <w:divBdr>
        <w:top w:val="none" w:sz="0" w:space="0" w:color="auto"/>
        <w:left w:val="none" w:sz="0" w:space="0" w:color="auto"/>
        <w:bottom w:val="none" w:sz="0" w:space="0" w:color="auto"/>
        <w:right w:val="none" w:sz="0" w:space="0" w:color="auto"/>
      </w:divBdr>
    </w:div>
    <w:div w:id="1239746798">
      <w:bodyDiv w:val="1"/>
      <w:marLeft w:val="0"/>
      <w:marRight w:val="0"/>
      <w:marTop w:val="0"/>
      <w:marBottom w:val="0"/>
      <w:divBdr>
        <w:top w:val="none" w:sz="0" w:space="0" w:color="auto"/>
        <w:left w:val="none" w:sz="0" w:space="0" w:color="auto"/>
        <w:bottom w:val="none" w:sz="0" w:space="0" w:color="auto"/>
        <w:right w:val="none" w:sz="0" w:space="0" w:color="auto"/>
      </w:divBdr>
    </w:div>
    <w:div w:id="1276788419">
      <w:bodyDiv w:val="1"/>
      <w:marLeft w:val="0"/>
      <w:marRight w:val="0"/>
      <w:marTop w:val="0"/>
      <w:marBottom w:val="0"/>
      <w:divBdr>
        <w:top w:val="none" w:sz="0" w:space="0" w:color="auto"/>
        <w:left w:val="none" w:sz="0" w:space="0" w:color="auto"/>
        <w:bottom w:val="none" w:sz="0" w:space="0" w:color="auto"/>
        <w:right w:val="none" w:sz="0" w:space="0" w:color="auto"/>
      </w:divBdr>
    </w:div>
    <w:div w:id="1296443967">
      <w:bodyDiv w:val="1"/>
      <w:marLeft w:val="0"/>
      <w:marRight w:val="0"/>
      <w:marTop w:val="0"/>
      <w:marBottom w:val="0"/>
      <w:divBdr>
        <w:top w:val="none" w:sz="0" w:space="0" w:color="auto"/>
        <w:left w:val="none" w:sz="0" w:space="0" w:color="auto"/>
        <w:bottom w:val="none" w:sz="0" w:space="0" w:color="auto"/>
        <w:right w:val="none" w:sz="0" w:space="0" w:color="auto"/>
      </w:divBdr>
    </w:div>
    <w:div w:id="1669406739">
      <w:bodyDiv w:val="1"/>
      <w:marLeft w:val="0"/>
      <w:marRight w:val="0"/>
      <w:marTop w:val="0"/>
      <w:marBottom w:val="0"/>
      <w:divBdr>
        <w:top w:val="none" w:sz="0" w:space="0" w:color="auto"/>
        <w:left w:val="none" w:sz="0" w:space="0" w:color="auto"/>
        <w:bottom w:val="none" w:sz="0" w:space="0" w:color="auto"/>
        <w:right w:val="none" w:sz="0" w:space="0" w:color="auto"/>
      </w:divBdr>
    </w:div>
    <w:div w:id="173855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lis.leg.state.or.us/liz/2015R1/Measures/Overview/HB30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United Employers Assoc</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Towne</dc:creator>
  <cp:lastModifiedBy>Becca Wiegand</cp:lastModifiedBy>
  <cp:revision>5</cp:revision>
  <dcterms:created xsi:type="dcterms:W3CDTF">2015-11-30T23:04:00Z</dcterms:created>
  <dcterms:modified xsi:type="dcterms:W3CDTF">2015-12-01T19:13:00Z</dcterms:modified>
</cp:coreProperties>
</file>