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1F" w:rsidRDefault="000F3626">
      <w:bookmarkStart w:id="0" w:name="_GoBack"/>
      <w:bookmarkEnd w:id="0"/>
      <w:r w:rsidRPr="000F362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3BF25FC" wp14:editId="067F1156">
                <wp:simplePos x="0" y="0"/>
                <wp:positionH relativeFrom="column">
                  <wp:posOffset>-30480</wp:posOffset>
                </wp:positionH>
                <wp:positionV relativeFrom="paragraph">
                  <wp:posOffset>-251460</wp:posOffset>
                </wp:positionV>
                <wp:extent cx="5948680" cy="960755"/>
                <wp:effectExtent l="0" t="0" r="13970"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48680" cy="960755"/>
                        </a:xfrm>
                        <a:prstGeom prst="rect">
                          <a:avLst/>
                        </a:prstGeom>
                        <a:solidFill>
                          <a:srgbClr val="D7D7AE"/>
                        </a:solidFill>
                        <a:ln w="0" algn="in">
                          <a:solidFill>
                            <a:srgbClr val="EBEBD7"/>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3626" w:rsidRDefault="000F3626" w:rsidP="000F3626">
                            <w:pPr>
                              <w:pStyle w:val="Title"/>
                              <w:pBdr>
                                <w:bottom w:val="single" w:sz="8" w:space="5" w:color="4F81BD" w:themeColor="accent1"/>
                              </w:pBdr>
                              <w:rPr>
                                <w:rFonts w:ascii="Eras Bold ITC" w:hAnsi="Eras Bold ITC"/>
                                <w:b/>
                                <w:bCs/>
                                <w:color w:val="FFFFFF"/>
                                <w:sz w:val="16"/>
                                <w:szCs w:val="16"/>
                                <w14:ligatures w14:val="none"/>
                              </w:rPr>
                            </w:pPr>
                            <w:r>
                              <w:rPr>
                                <w:rFonts w:ascii="Eras Bold ITC" w:hAnsi="Eras Bold ITC"/>
                                <w:b/>
                                <w:bCs/>
                                <w:color w:val="FFFFFF"/>
                                <w:sz w:val="16"/>
                                <w:szCs w:val="16"/>
                                <w14:ligatures w14:val="none"/>
                              </w:rPr>
                              <w:t> </w:t>
                            </w:r>
                          </w:p>
                          <w:p w:rsidR="000F3626" w:rsidRPr="000F3626" w:rsidRDefault="000F3626" w:rsidP="000F3626">
                            <w:pPr>
                              <w:pStyle w:val="Title"/>
                              <w:pBdr>
                                <w:bottom w:val="single" w:sz="8" w:space="5" w:color="4F81BD" w:themeColor="accent1"/>
                              </w:pBdr>
                              <w:jc w:val="center"/>
                              <w:rPr>
                                <w:rFonts w:ascii="Eras Bold ITC" w:hAnsi="Eras Bold ITC"/>
                                <w:b/>
                                <w:bCs/>
                                <w:color w:val="auto"/>
                                <w:sz w:val="36"/>
                                <w:szCs w:val="36"/>
                                <w14:ligatures w14:val="none"/>
                              </w:rPr>
                            </w:pPr>
                            <w:r w:rsidRPr="000F3626">
                              <w:rPr>
                                <w:rFonts w:ascii="Eras Bold ITC" w:hAnsi="Eras Bold ITC"/>
                                <w:b/>
                                <w:bCs/>
                                <w:color w:val="auto"/>
                                <w:sz w:val="36"/>
                                <w:szCs w:val="36"/>
                                <w14:ligatures w14:val="none"/>
                              </w:rPr>
                              <w:t>ANGELS’ PLACE</w:t>
                            </w:r>
                          </w:p>
                          <w:p w:rsidR="000F3626" w:rsidRPr="000F3626" w:rsidRDefault="000F3626" w:rsidP="000F3626">
                            <w:pPr>
                              <w:pStyle w:val="Subtitle"/>
                              <w:jc w:val="center"/>
                              <w:rPr>
                                <w:rFonts w:ascii="Eras Bold ITC" w:hAnsi="Eras Bold ITC"/>
                                <w:b/>
                                <w:color w:val="auto"/>
                                <w:sz w:val="36"/>
                                <w:szCs w:val="36"/>
                                <w14:ligatures w14:val="none"/>
                              </w:rPr>
                            </w:pPr>
                            <w:r w:rsidRPr="000F3626">
                              <w:rPr>
                                <w:rFonts w:ascii="Eras Bold ITC" w:hAnsi="Eras Bold ITC"/>
                                <w:color w:val="auto"/>
                                <w:sz w:val="36"/>
                                <w:szCs w:val="36"/>
                                <w14:ligatures w14:val="none"/>
                              </w:rPr>
                              <w:t>PLANNED GIVING OPPORTUNITIES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pt;margin-top:-19.8pt;width:468.4pt;height:75.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" fillcolor="#d7d7ae" strokecolor="#ebebd7" strokeweight="0" insetpen="t">
                <v:shadow color="#ccc"/>
                <o:lock v:ext="edit" shapetype="t"/>
                <v:textbox inset="2.85pt,2.85pt,2.85pt,2.85pt">
                  <w:txbxContent>
                    <w:p w:rsidR="000F3626" w:rsidRDefault="000F3626" w:rsidP="000F3626">
                      <w:pPr>
                        <w:pStyle w:val="Title"/>
                        <w:pBdr>
                          <w:bottom w:val="single" w:sz="8" w:space="5" w:color="4F81BD" w:themeColor="accent1"/>
                        </w:pBdr>
                        <w:rPr>
                          <w:rFonts w:ascii="Eras Bold ITC" w:hAnsi="Eras Bold ITC"/>
                          <w:b/>
                          <w:bCs/>
                          <w:color w:val="FFFFFF"/>
                          <w:sz w:val="16"/>
                          <w:szCs w:val="16"/>
                          <w14:ligatures w14:val="none"/>
                        </w:rPr>
                      </w:pPr>
                      <w:r>
                        <w:rPr>
                          <w:rFonts w:ascii="Eras Bold ITC" w:hAnsi="Eras Bold ITC"/>
                          <w:b/>
                          <w:bCs/>
                          <w:color w:val="FFFFFF"/>
                          <w:sz w:val="16"/>
                          <w:szCs w:val="16"/>
                          <w14:ligatures w14:val="none"/>
                        </w:rPr>
                        <w:t> </w:t>
                      </w:r>
                    </w:p>
                    <w:p w:rsidR="000F3626" w:rsidRPr="000F3626" w:rsidRDefault="000F3626" w:rsidP="000F3626">
                      <w:pPr>
                        <w:pStyle w:val="Title"/>
                        <w:pBdr>
                          <w:bottom w:val="single" w:sz="8" w:space="5" w:color="4F81BD" w:themeColor="accent1"/>
                        </w:pBdr>
                        <w:jc w:val="center"/>
                        <w:rPr>
                          <w:rFonts w:ascii="Eras Bold ITC" w:hAnsi="Eras Bold ITC"/>
                          <w:b/>
                          <w:bCs/>
                          <w:color w:val="auto"/>
                          <w:sz w:val="36"/>
                          <w:szCs w:val="36"/>
                          <w14:ligatures w14:val="none"/>
                        </w:rPr>
                      </w:pPr>
                      <w:r w:rsidRPr="000F3626">
                        <w:rPr>
                          <w:rFonts w:ascii="Eras Bold ITC" w:hAnsi="Eras Bold ITC"/>
                          <w:b/>
                          <w:bCs/>
                          <w:color w:val="auto"/>
                          <w:sz w:val="36"/>
                          <w:szCs w:val="36"/>
                          <w14:ligatures w14:val="none"/>
                        </w:rPr>
                        <w:t>ANGELS’ PLACE</w:t>
                      </w:r>
                    </w:p>
                    <w:p w:rsidR="000F3626" w:rsidRPr="000F3626" w:rsidRDefault="000F3626" w:rsidP="000F3626">
                      <w:pPr>
                        <w:pStyle w:val="Subtitle"/>
                        <w:jc w:val="center"/>
                        <w:rPr>
                          <w:rFonts w:ascii="Eras Bold ITC" w:hAnsi="Eras Bold ITC"/>
                          <w:b/>
                          <w:color w:val="auto"/>
                          <w:sz w:val="36"/>
                          <w:szCs w:val="36"/>
                          <w14:ligatures w14:val="none"/>
                        </w:rPr>
                      </w:pPr>
                      <w:r w:rsidRPr="000F3626">
                        <w:rPr>
                          <w:rFonts w:ascii="Eras Bold ITC" w:hAnsi="Eras Bold ITC"/>
                          <w:color w:val="auto"/>
                          <w:sz w:val="36"/>
                          <w:szCs w:val="36"/>
                          <w14:ligatures w14:val="none"/>
                        </w:rPr>
                        <w:t>PLANNED GIVING OPPORTUNITIES</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3A3A87FD" wp14:editId="0B9ECD3A">
                <wp:simplePos x="0" y="0"/>
                <wp:positionH relativeFrom="column">
                  <wp:posOffset>-29210</wp:posOffset>
                </wp:positionH>
                <wp:positionV relativeFrom="paragraph">
                  <wp:posOffset>868680</wp:posOffset>
                </wp:positionV>
                <wp:extent cx="5948680" cy="63652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6365240"/>
                        </a:xfrm>
                        <a:prstGeom prst="rect">
                          <a:avLst/>
                        </a:prstGeom>
                        <a:solidFill>
                          <a:srgbClr val="D7D7A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3626" w:rsidRDefault="000F3626" w:rsidP="000F3626">
                            <w:pPr>
                              <w:widowControl w:val="0"/>
                              <w:ind w:left="360" w:right="251" w:hanging="180"/>
                              <w:jc w:val="both"/>
                              <w:rPr>
                                <w:rFonts w:ascii="Calibri" w:hAnsi="Calibri"/>
                                <w:b/>
                                <w:bCs/>
                                <w:color w:val="000066"/>
                                <w:sz w:val="24"/>
                                <w:szCs w:val="24"/>
                                <w14:ligatures w14:val="none"/>
                              </w:rPr>
                            </w:pPr>
                            <w:r>
                              <w:rPr>
                                <w:rFonts w:ascii="Calibri" w:hAnsi="Calibri"/>
                                <w:b/>
                                <w:bCs/>
                                <w:color w:val="000066"/>
                                <w:sz w:val="24"/>
                                <w:szCs w:val="24"/>
                                <w14:ligatures w14:val="none"/>
                              </w:rPr>
                              <w:t> </w:t>
                            </w:r>
                          </w:p>
                          <w:p w:rsidR="000F3626" w:rsidRDefault="000F3626" w:rsidP="000F3626">
                            <w:pPr>
                              <w:widowControl w:val="0"/>
                              <w:ind w:left="360" w:right="251" w:hanging="180"/>
                              <w:jc w:val="both"/>
                              <w:rPr>
                                <w:rFonts w:ascii="Calibri" w:hAnsi="Calibri"/>
                                <w:b/>
                                <w:bCs/>
                                <w:sz w:val="8"/>
                                <w:szCs w:val="8"/>
                                <w14:ligatures w14:val="none"/>
                              </w:rPr>
                            </w:pPr>
                            <w:r>
                              <w:rPr>
                                <w:rFonts w:ascii="Calibri" w:hAnsi="Calibri"/>
                                <w:b/>
                                <w:bCs/>
                                <w:sz w:val="24"/>
                                <w:szCs w:val="24"/>
                                <w14:ligatures w14:val="none"/>
                              </w:rPr>
                              <w:t xml:space="preserve">Bequests:  </w:t>
                            </w:r>
                            <w:r>
                              <w:rPr>
                                <w:rFonts w:ascii="Calibri" w:hAnsi="Calibri"/>
                                <w14:ligatures w14:val="none"/>
                              </w:rPr>
                              <w:t>“Gifts under the Will” – establish a gift to Angels’ Place, to be completed upon the death of the donor(s).  This method provides the donor(s) with a Charitable Estate Tax Deduction and establishes the legacy that the donor(s) intended.</w:t>
                            </w:r>
                          </w:p>
                          <w:p w:rsidR="000F3626" w:rsidRDefault="000F3626" w:rsidP="000F3626">
                            <w:pPr>
                              <w:widowControl w:val="0"/>
                              <w:ind w:left="360" w:right="251" w:hanging="180"/>
                              <w:jc w:val="both"/>
                              <w:rPr>
                                <w:rFonts w:ascii="Calibri" w:hAnsi="Calibri"/>
                                <w:sz w:val="8"/>
                                <w:szCs w:val="8"/>
                                <w14:ligatures w14:val="none"/>
                              </w:rPr>
                            </w:pPr>
                            <w:r>
                              <w:rPr>
                                <w:rFonts w:ascii="Calibri" w:hAnsi="Calibri"/>
                                <w:b/>
                                <w:bCs/>
                                <w:sz w:val="24"/>
                                <w:szCs w:val="24"/>
                                <w14:ligatures w14:val="none"/>
                              </w:rPr>
                              <w:t xml:space="preserve">Beneficial Designation of Retirement Plans: </w:t>
                            </w:r>
                            <w:r>
                              <w:rPr>
                                <w:rFonts w:ascii="Calibri" w:hAnsi="Calibri"/>
                                <w14:ligatures w14:val="none"/>
                              </w:rPr>
                              <w:t>This strategy enables the donor(s) to create a legacy gift to Angels’ Place using their Retirement or Qualified Plans.  By naming Angels’ Place as a “Designated Beneficiary” (</w:t>
                            </w:r>
                            <w:proofErr w:type="gramStart"/>
                            <w:r>
                              <w:rPr>
                                <w:rFonts w:ascii="Calibri" w:hAnsi="Calibri"/>
                                <w14:ligatures w14:val="none"/>
                              </w:rPr>
                              <w:t>a  partial</w:t>
                            </w:r>
                            <w:proofErr w:type="gramEnd"/>
                            <w:r>
                              <w:rPr>
                                <w:rFonts w:ascii="Calibri" w:hAnsi="Calibri"/>
                                <w14:ligatures w14:val="none"/>
                              </w:rPr>
                              <w:t xml:space="preserve"> or entire designation can be established), a legacy gift can be created at the death of the donor(s).  This      strategy creates a Charitable Estate Tax Deduction.</w:t>
                            </w:r>
                          </w:p>
                          <w:p w:rsidR="000F3626" w:rsidRDefault="000F3626" w:rsidP="000F3626">
                            <w:pPr>
                              <w:widowControl w:val="0"/>
                              <w:ind w:left="360" w:right="251" w:hanging="180"/>
                              <w:jc w:val="both"/>
                              <w:rPr>
                                <w:rFonts w:ascii="Calibri" w:hAnsi="Calibri"/>
                                <w:b/>
                                <w:bCs/>
                                <w:sz w:val="8"/>
                                <w:szCs w:val="8"/>
                                <w14:ligatures w14:val="none"/>
                              </w:rPr>
                            </w:pPr>
                            <w:r>
                              <w:rPr>
                                <w:rFonts w:ascii="Calibri" w:hAnsi="Calibri"/>
                                <w:b/>
                                <w:bCs/>
                                <w:sz w:val="24"/>
                                <w:szCs w:val="24"/>
                                <w14:ligatures w14:val="none"/>
                              </w:rPr>
                              <w:t xml:space="preserve">Beneficial Designation of Life Insurance: </w:t>
                            </w:r>
                            <w:r>
                              <w:rPr>
                                <w:rFonts w:ascii="Calibri" w:hAnsi="Calibri"/>
                                <w14:ligatures w14:val="none"/>
                              </w:rPr>
                              <w:t xml:space="preserve">The donor(s) gift the death benefit of an existing life                insurance policy to Angels’ Place.  When the benefit is paid, the portion (or total – depending on designation) is </w:t>
                            </w:r>
                            <w:proofErr w:type="gramStart"/>
                            <w:r>
                              <w:rPr>
                                <w:rFonts w:ascii="Calibri" w:hAnsi="Calibri"/>
                                <w14:ligatures w14:val="none"/>
                              </w:rPr>
                              <w:t>paid  directly</w:t>
                            </w:r>
                            <w:proofErr w:type="gramEnd"/>
                            <w:r>
                              <w:rPr>
                                <w:rFonts w:ascii="Calibri" w:hAnsi="Calibri"/>
                                <w14:ligatures w14:val="none"/>
                              </w:rPr>
                              <w:t xml:space="preserve"> to Angels’ Place, creating the legacy gift, as well as the Charitable Estate Tax  Deduction.</w:t>
                            </w:r>
                          </w:p>
                          <w:p w:rsidR="000F3626" w:rsidRDefault="000F3626" w:rsidP="000F3626">
                            <w:pPr>
                              <w:widowControl w:val="0"/>
                              <w:ind w:left="360" w:right="251" w:hanging="180"/>
                              <w:jc w:val="both"/>
                              <w:rPr>
                                <w:rFonts w:ascii="Calibri" w:hAnsi="Calibri"/>
                                <w:sz w:val="8"/>
                                <w:szCs w:val="8"/>
                                <w14:ligatures w14:val="none"/>
                              </w:rPr>
                            </w:pPr>
                            <w:r>
                              <w:rPr>
                                <w:rFonts w:ascii="Calibri" w:hAnsi="Calibri"/>
                                <w:b/>
                                <w:bCs/>
                                <w:sz w:val="24"/>
                                <w:szCs w:val="24"/>
                                <w14:ligatures w14:val="none"/>
                              </w:rPr>
                              <w:t xml:space="preserve">Gift of Real Property Subject to Life Estate: </w:t>
                            </w:r>
                            <w:r>
                              <w:rPr>
                                <w:rFonts w:ascii="Calibri" w:hAnsi="Calibri"/>
                                <w14:ligatures w14:val="none"/>
                              </w:rPr>
                              <w:t>The donor(s) begin the gifting process by deeding the primary residence, vacation home, etc., to Angels’ Place – RETAINING the right to occupy the property for life.   The “Life         Tenant(s)” retain the responsibility for taxes, utilities, insurance and up-keep of the property at all times during their occupancy.  In exchange for this strategy, the donor(s) receive a charitable income tax deduction based upon the remainder value on the property.  This is also a great strategy for ease in the estate distribution/settlement process.</w:t>
                            </w:r>
                          </w:p>
                          <w:p w:rsidR="000F3626" w:rsidRDefault="000F3626" w:rsidP="000F3626">
                            <w:pPr>
                              <w:widowControl w:val="0"/>
                              <w:ind w:left="360" w:right="251" w:hanging="180"/>
                              <w:jc w:val="both"/>
                              <w:rPr>
                                <w:rFonts w:ascii="Calibri" w:hAnsi="Calibri"/>
                                <w:sz w:val="8"/>
                                <w:szCs w:val="8"/>
                                <w14:ligatures w14:val="none"/>
                              </w:rPr>
                            </w:pPr>
                            <w:r>
                              <w:rPr>
                                <w:rFonts w:ascii="Calibri" w:hAnsi="Calibri"/>
                                <w:b/>
                                <w:bCs/>
                                <w:sz w:val="24"/>
                                <w:szCs w:val="24"/>
                                <w14:ligatures w14:val="none"/>
                              </w:rPr>
                              <w:t xml:space="preserve">Charitable Gift Annuity Contract: </w:t>
                            </w:r>
                            <w:r>
                              <w:rPr>
                                <w:rFonts w:ascii="Calibri" w:hAnsi="Calibri"/>
                                <w14:ligatures w14:val="none"/>
                              </w:rPr>
                              <w:t>A simple contract between the donor(s) and Angels’ Place, whereby the donor gifts cash or appreciated securities, in exchange for an immediate charitable income tax deduction, and a    retained income interest (distribution) for life.  The donor’s income can be immediate or deferred to another time period.  Upon the death of the income beneficiary, or if the donor(s) elect to terminate the income early, the          remainder is distributed to the program pre-arranged with Angels’ Place.</w:t>
                            </w:r>
                          </w:p>
                          <w:p w:rsidR="000F3626" w:rsidRDefault="000F3626" w:rsidP="000F3626">
                            <w:pPr>
                              <w:widowControl w:val="0"/>
                              <w:ind w:left="360" w:right="251" w:hanging="180"/>
                              <w:jc w:val="both"/>
                              <w:rPr>
                                <w:rFonts w:ascii="Calibri" w:hAnsi="Calibri"/>
                                <w:sz w:val="8"/>
                                <w:szCs w:val="8"/>
                                <w14:ligatures w14:val="none"/>
                              </w:rPr>
                            </w:pPr>
                            <w:r>
                              <w:rPr>
                                <w:rFonts w:ascii="Calibri" w:hAnsi="Calibri"/>
                                <w:b/>
                                <w:bCs/>
                                <w:sz w:val="24"/>
                                <w:szCs w:val="24"/>
                                <w14:ligatures w14:val="none"/>
                              </w:rPr>
                              <w:t xml:space="preserve">Charitable Remainder Trust: </w:t>
                            </w:r>
                            <w:proofErr w:type="gramStart"/>
                            <w:r>
                              <w:rPr>
                                <w:rFonts w:ascii="Calibri" w:hAnsi="Calibri"/>
                                <w14:ligatures w14:val="none"/>
                              </w:rPr>
                              <w:t>A</w:t>
                            </w:r>
                            <w:proofErr w:type="gramEnd"/>
                            <w:r>
                              <w:rPr>
                                <w:rFonts w:ascii="Calibri" w:hAnsi="Calibri"/>
                                <w14:ligatures w14:val="none"/>
                              </w:rPr>
                              <w:t xml:space="preserve"> irrevocable trust created for the donor(s) by their own legal advisor, with a dual purpose: the donor(s) will receive a charitable income tax deduction immediately, as well as an income stream which has been predetermined by the planning team.  There are two types of Charitable Remainder Trust – Charitable Remainder Annuity Trust (with a fixed distribution dollar amount), and the Charitable Remainder </w:t>
                            </w:r>
                            <w:proofErr w:type="spellStart"/>
                            <w:r>
                              <w:rPr>
                                <w:rFonts w:ascii="Calibri" w:hAnsi="Calibri"/>
                                <w14:ligatures w14:val="none"/>
                              </w:rPr>
                              <w:t>Unitrust</w:t>
                            </w:r>
                            <w:proofErr w:type="spellEnd"/>
                            <w:r>
                              <w:rPr>
                                <w:rFonts w:ascii="Calibri" w:hAnsi="Calibri"/>
                                <w14:ligatures w14:val="none"/>
                              </w:rPr>
                              <w:t xml:space="preserve"> (a flexible distribution dollar amount - but this trust does allow additional contributions for additional deduction and increase in distribution).  The Charitable Remainder Trust provides a new source of “disposable income” which can be used for additional planning for the donor(s), as well as for additional gifts to Angels’ Place.</w:t>
                            </w:r>
                          </w:p>
                          <w:p w:rsidR="000F3626" w:rsidRDefault="000F3626" w:rsidP="000F3626">
                            <w:pPr>
                              <w:ind w:left="360" w:right="251" w:hanging="180"/>
                              <w:jc w:val="both"/>
                              <w:rPr>
                                <w:rFonts w:ascii="Calibri" w:hAnsi="Calibri"/>
                                <w14:ligatures w14:val="none"/>
                              </w:rPr>
                            </w:pPr>
                            <w:r>
                              <w:rPr>
                                <w:rFonts w:ascii="Calibri" w:hAnsi="Calibri"/>
                                <w:b/>
                                <w:bCs/>
                                <w:sz w:val="24"/>
                                <w:szCs w:val="24"/>
                                <w14:ligatures w14:val="none"/>
                              </w:rPr>
                              <w:t xml:space="preserve">Charitable Lead Trust: </w:t>
                            </w:r>
                            <w:r>
                              <w:rPr>
                                <w:rFonts w:ascii="Calibri" w:hAnsi="Calibri"/>
                                <w14:ligatures w14:val="none"/>
                              </w:rPr>
                              <w:t>Also an irrevocable trust, created by the donors’ own legal advisor to create an            immediate stream of income to Angels’ Place (and other charitable organizations) for a time period established by the donor(s).  At the termination of the trust, the assets held within the trust will be transferred to the designated       (non-charitable) beneficiaries, (family, friends, etc.).  This vehicle provides the donor with the ability to establish the charitable legacy today – while it can be enjoyed – as well as to transfer assets to loved ones in a most tax              advantageous manner.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3pt;margin-top:68.4pt;width:468.4pt;height:501.2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" fillcolor="#d7d7ae" stroked="f" strokecolor="black [0]" insetpen="t">
                <v:shadow color="#ccc"/>
                <v:textbox inset="2.88pt,2.88pt,2.88pt,2.88pt">
                  <w:txbxContent>
                    <w:p w:rsidR="000F3626" w:rsidRDefault="000F3626" w:rsidP="000F3626">
                      <w:pPr>
                        <w:widowControl w:val="0"/>
                        <w:ind w:left="360" w:right="251" w:hanging="180"/>
                        <w:jc w:val="both"/>
                        <w:rPr>
                          <w:rFonts w:ascii="Calibri" w:hAnsi="Calibri"/>
                          <w:b/>
                          <w:bCs/>
                          <w:color w:val="000066"/>
                          <w:sz w:val="24"/>
                          <w:szCs w:val="24"/>
                          <w14:ligatures w14:val="none"/>
                        </w:rPr>
                      </w:pPr>
                      <w:r>
                        <w:rPr>
                          <w:rFonts w:ascii="Calibri" w:hAnsi="Calibri"/>
                          <w:b/>
                          <w:bCs/>
                          <w:color w:val="000066"/>
                          <w:sz w:val="24"/>
                          <w:szCs w:val="24"/>
                          <w14:ligatures w14:val="none"/>
                        </w:rPr>
                        <w:t> </w:t>
                      </w:r>
                    </w:p>
                    <w:p w:rsidR="000F3626" w:rsidRDefault="000F3626" w:rsidP="000F3626">
                      <w:pPr>
                        <w:widowControl w:val="0"/>
                        <w:ind w:left="360" w:right="251" w:hanging="180"/>
                        <w:jc w:val="both"/>
                        <w:rPr>
                          <w:rFonts w:ascii="Calibri" w:hAnsi="Calibri"/>
                          <w:b/>
                          <w:bCs/>
                          <w:sz w:val="8"/>
                          <w:szCs w:val="8"/>
                          <w14:ligatures w14:val="none"/>
                        </w:rPr>
                      </w:pPr>
                      <w:r>
                        <w:rPr>
                          <w:rFonts w:ascii="Calibri" w:hAnsi="Calibri"/>
                          <w:b/>
                          <w:bCs/>
                          <w:sz w:val="24"/>
                          <w:szCs w:val="24"/>
                          <w14:ligatures w14:val="none"/>
                        </w:rPr>
                        <w:t xml:space="preserve">Bequests:  </w:t>
                      </w:r>
                      <w:r>
                        <w:rPr>
                          <w:rFonts w:ascii="Calibri" w:hAnsi="Calibri"/>
                          <w14:ligatures w14:val="none"/>
                        </w:rPr>
                        <w:t>“Gifts under the Will” – establish a gift to Angels’ Place, to be completed upon the death of the donor(s).  This method provides the donor(s) with a Charitable Estate Tax Deduction and establishes the legacy that the donor(s) intended.</w:t>
                      </w:r>
                    </w:p>
                    <w:p w:rsidR="000F3626" w:rsidRDefault="000F3626" w:rsidP="000F3626">
                      <w:pPr>
                        <w:widowControl w:val="0"/>
                        <w:ind w:left="360" w:right="251" w:hanging="180"/>
                        <w:jc w:val="both"/>
                        <w:rPr>
                          <w:rFonts w:ascii="Calibri" w:hAnsi="Calibri"/>
                          <w:sz w:val="8"/>
                          <w:szCs w:val="8"/>
                          <w14:ligatures w14:val="none"/>
                        </w:rPr>
                      </w:pPr>
                      <w:r>
                        <w:rPr>
                          <w:rFonts w:ascii="Calibri" w:hAnsi="Calibri"/>
                          <w:b/>
                          <w:bCs/>
                          <w:sz w:val="24"/>
                          <w:szCs w:val="24"/>
                          <w14:ligatures w14:val="none"/>
                        </w:rPr>
                        <w:t xml:space="preserve">Beneficial Designation of Retirement Plans: </w:t>
                      </w:r>
                      <w:r>
                        <w:rPr>
                          <w:rFonts w:ascii="Calibri" w:hAnsi="Calibri"/>
                          <w14:ligatures w14:val="none"/>
                        </w:rPr>
                        <w:t>This strategy enables the donor(s) to create a legacy gift to Angels’ Place using their Retirement or Qualified Plans.  By naming Angels’ Place as a “Designated Beneficiary” (</w:t>
                      </w:r>
                      <w:proofErr w:type="gramStart"/>
                      <w:r>
                        <w:rPr>
                          <w:rFonts w:ascii="Calibri" w:hAnsi="Calibri"/>
                          <w14:ligatures w14:val="none"/>
                        </w:rPr>
                        <w:t>a  partial</w:t>
                      </w:r>
                      <w:proofErr w:type="gramEnd"/>
                      <w:r>
                        <w:rPr>
                          <w:rFonts w:ascii="Calibri" w:hAnsi="Calibri"/>
                          <w14:ligatures w14:val="none"/>
                        </w:rPr>
                        <w:t xml:space="preserve"> or entire designation can be established), a legacy gift can be created at the death of the donor(s).  This      strategy creates a Charitable Estate Tax Deduction.</w:t>
                      </w:r>
                    </w:p>
                    <w:p w:rsidR="000F3626" w:rsidRDefault="000F3626" w:rsidP="000F3626">
                      <w:pPr>
                        <w:widowControl w:val="0"/>
                        <w:ind w:left="360" w:right="251" w:hanging="180"/>
                        <w:jc w:val="both"/>
                        <w:rPr>
                          <w:rFonts w:ascii="Calibri" w:hAnsi="Calibri"/>
                          <w:b/>
                          <w:bCs/>
                          <w:sz w:val="8"/>
                          <w:szCs w:val="8"/>
                          <w14:ligatures w14:val="none"/>
                        </w:rPr>
                      </w:pPr>
                      <w:r>
                        <w:rPr>
                          <w:rFonts w:ascii="Calibri" w:hAnsi="Calibri"/>
                          <w:b/>
                          <w:bCs/>
                          <w:sz w:val="24"/>
                          <w:szCs w:val="24"/>
                          <w14:ligatures w14:val="none"/>
                        </w:rPr>
                        <w:t xml:space="preserve">Beneficial Designation of Life Insurance: </w:t>
                      </w:r>
                      <w:r>
                        <w:rPr>
                          <w:rFonts w:ascii="Calibri" w:hAnsi="Calibri"/>
                          <w14:ligatures w14:val="none"/>
                        </w:rPr>
                        <w:t xml:space="preserve">The donor(s) gift the death benefit of an existing life                insurance policy to Angels’ Place.  When the benefit is paid, the portion (or total – depending on designation) is </w:t>
                      </w:r>
                      <w:proofErr w:type="gramStart"/>
                      <w:r>
                        <w:rPr>
                          <w:rFonts w:ascii="Calibri" w:hAnsi="Calibri"/>
                          <w14:ligatures w14:val="none"/>
                        </w:rPr>
                        <w:t>paid  directly</w:t>
                      </w:r>
                      <w:proofErr w:type="gramEnd"/>
                      <w:r>
                        <w:rPr>
                          <w:rFonts w:ascii="Calibri" w:hAnsi="Calibri"/>
                          <w14:ligatures w14:val="none"/>
                        </w:rPr>
                        <w:t xml:space="preserve"> to Angels’ Place, creating the legacy gift, as well as the Charitable Estate Tax  Deduction.</w:t>
                      </w:r>
                    </w:p>
                    <w:p w:rsidR="000F3626" w:rsidRDefault="000F3626" w:rsidP="000F3626">
                      <w:pPr>
                        <w:widowControl w:val="0"/>
                        <w:ind w:left="360" w:right="251" w:hanging="180"/>
                        <w:jc w:val="both"/>
                        <w:rPr>
                          <w:rFonts w:ascii="Calibri" w:hAnsi="Calibri"/>
                          <w:sz w:val="8"/>
                          <w:szCs w:val="8"/>
                          <w14:ligatures w14:val="none"/>
                        </w:rPr>
                      </w:pPr>
                      <w:r>
                        <w:rPr>
                          <w:rFonts w:ascii="Calibri" w:hAnsi="Calibri"/>
                          <w:b/>
                          <w:bCs/>
                          <w:sz w:val="24"/>
                          <w:szCs w:val="24"/>
                          <w14:ligatures w14:val="none"/>
                        </w:rPr>
                        <w:t xml:space="preserve">Gift of Real Property Subject to Life Estate: </w:t>
                      </w:r>
                      <w:r>
                        <w:rPr>
                          <w:rFonts w:ascii="Calibri" w:hAnsi="Calibri"/>
                          <w14:ligatures w14:val="none"/>
                        </w:rPr>
                        <w:t>The donor(s) begin the gifting process by deeding the primary residence, vacation home, etc., to Angels’ Place – RETAINING the right to occupy the property for life.   The “Life         Tenant(s)” retain the responsibility for taxes, utilities, insurance and up-keep of the property at all times during their occupancy.  In exchange for this strategy, the donor(s) receive a charitable income tax deduction based upon the remainder value on the property.  This is also a great strategy for ease in the estate distribution/settlement process.</w:t>
                      </w:r>
                    </w:p>
                    <w:p w:rsidR="000F3626" w:rsidRDefault="000F3626" w:rsidP="000F3626">
                      <w:pPr>
                        <w:widowControl w:val="0"/>
                        <w:ind w:left="360" w:right="251" w:hanging="180"/>
                        <w:jc w:val="both"/>
                        <w:rPr>
                          <w:rFonts w:ascii="Calibri" w:hAnsi="Calibri"/>
                          <w:sz w:val="8"/>
                          <w:szCs w:val="8"/>
                          <w14:ligatures w14:val="none"/>
                        </w:rPr>
                      </w:pPr>
                      <w:r>
                        <w:rPr>
                          <w:rFonts w:ascii="Calibri" w:hAnsi="Calibri"/>
                          <w:b/>
                          <w:bCs/>
                          <w:sz w:val="24"/>
                          <w:szCs w:val="24"/>
                          <w14:ligatures w14:val="none"/>
                        </w:rPr>
                        <w:t xml:space="preserve">Charitable Gift Annuity Contract: </w:t>
                      </w:r>
                      <w:r>
                        <w:rPr>
                          <w:rFonts w:ascii="Calibri" w:hAnsi="Calibri"/>
                          <w14:ligatures w14:val="none"/>
                        </w:rPr>
                        <w:t>A simple contract between the donor(s) and Angels’ Place, whereby the donor gifts cash or appreciated securities, in exchange for an immediate charitable income tax deduction, and a    retained income interest (distribution) for life.  The donor’s income can be immediate or deferred to another time period.  Upon the death of the income beneficiary, or if the donor(s) elect to terminate the income early, the          remainder is distributed to the program pre-arranged with Angels’ Place.</w:t>
                      </w:r>
                    </w:p>
                    <w:p w:rsidR="000F3626" w:rsidRDefault="000F3626" w:rsidP="000F3626">
                      <w:pPr>
                        <w:widowControl w:val="0"/>
                        <w:ind w:left="360" w:right="251" w:hanging="180"/>
                        <w:jc w:val="both"/>
                        <w:rPr>
                          <w:rFonts w:ascii="Calibri" w:hAnsi="Calibri"/>
                          <w:sz w:val="8"/>
                          <w:szCs w:val="8"/>
                          <w14:ligatures w14:val="none"/>
                        </w:rPr>
                      </w:pPr>
                      <w:r>
                        <w:rPr>
                          <w:rFonts w:ascii="Calibri" w:hAnsi="Calibri"/>
                          <w:b/>
                          <w:bCs/>
                          <w:sz w:val="24"/>
                          <w:szCs w:val="24"/>
                          <w14:ligatures w14:val="none"/>
                        </w:rPr>
                        <w:t xml:space="preserve">Charitable Remainder Trust: </w:t>
                      </w:r>
                      <w:proofErr w:type="gramStart"/>
                      <w:r>
                        <w:rPr>
                          <w:rFonts w:ascii="Calibri" w:hAnsi="Calibri"/>
                          <w14:ligatures w14:val="none"/>
                        </w:rPr>
                        <w:t>A</w:t>
                      </w:r>
                      <w:proofErr w:type="gramEnd"/>
                      <w:r>
                        <w:rPr>
                          <w:rFonts w:ascii="Calibri" w:hAnsi="Calibri"/>
                          <w14:ligatures w14:val="none"/>
                        </w:rPr>
                        <w:t xml:space="preserve"> irrevocable trust created for the donor(s) by their own legal advisor, with a dual purpose: the donor(s) will receive a charitable income tax deduction immediately, as well as an income stream which has been predetermined by the planning team.  There are two types of Charitable Remainder Trust – Charitable Remainder Annuity Trust (with a fixed distribution dollar amount), and the Charitable Remainder </w:t>
                      </w:r>
                      <w:proofErr w:type="spellStart"/>
                      <w:r>
                        <w:rPr>
                          <w:rFonts w:ascii="Calibri" w:hAnsi="Calibri"/>
                          <w14:ligatures w14:val="none"/>
                        </w:rPr>
                        <w:t>Unitrust</w:t>
                      </w:r>
                      <w:proofErr w:type="spellEnd"/>
                      <w:r>
                        <w:rPr>
                          <w:rFonts w:ascii="Calibri" w:hAnsi="Calibri"/>
                          <w14:ligatures w14:val="none"/>
                        </w:rPr>
                        <w:t xml:space="preserve"> (a flexible distribution dollar amount - but this trust does allow additional contributions for additional deduction and increase in distribution).  The Charitable Remainder Trust provides a new source of “disposable income” which can be used for additional planning for the donor(s), as well as for additional gifts to Angels’ Place.</w:t>
                      </w:r>
                    </w:p>
                    <w:p w:rsidR="000F3626" w:rsidRDefault="000F3626" w:rsidP="000F3626">
                      <w:pPr>
                        <w:ind w:left="360" w:right="251" w:hanging="180"/>
                        <w:jc w:val="both"/>
                        <w:rPr>
                          <w:rFonts w:ascii="Calibri" w:hAnsi="Calibri"/>
                          <w14:ligatures w14:val="none"/>
                        </w:rPr>
                      </w:pPr>
                      <w:r>
                        <w:rPr>
                          <w:rFonts w:ascii="Calibri" w:hAnsi="Calibri"/>
                          <w:b/>
                          <w:bCs/>
                          <w:sz w:val="24"/>
                          <w:szCs w:val="24"/>
                          <w14:ligatures w14:val="none"/>
                        </w:rPr>
                        <w:t xml:space="preserve">Charitable Lead Trust: </w:t>
                      </w:r>
                      <w:r>
                        <w:rPr>
                          <w:rFonts w:ascii="Calibri" w:hAnsi="Calibri"/>
                          <w14:ligatures w14:val="none"/>
                        </w:rPr>
                        <w:t>Also an irrevocable trust, created by the donors’ own legal advisor to create an            immediate stream of income to Angels’ Place (and other charitable organizations) for a time period established by the donor(s).  At the termination of the trust, the assets held within the trust will be transferred to the designated       (non-charitable) beneficiaries, (family, friends, etc.).  This vehicle provides the donor with the ability to establish the charitable legacy today – while it can be enjoyed – as well as to transfer assets to loved ones in a most tax              advantageous manner.</w:t>
                      </w:r>
                    </w:p>
                  </w:txbxContent>
                </v:textbox>
              </v:shape>
            </w:pict>
          </mc:Fallback>
        </mc:AlternateContent>
      </w:r>
    </w:p>
    <w:sectPr w:rsidR="00E24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Eras Bold ITC">
    <w:panose1 w:val="020B0907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26"/>
    <w:rsid w:val="000F3626"/>
    <w:rsid w:val="002F16FC"/>
    <w:rsid w:val="0095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626"/>
    <w:pPr>
      <w:spacing w:after="96" w:line="264" w:lineRule="auto"/>
    </w:pPr>
    <w:rPr>
      <w:rFonts w:ascii="Century Schoolbook" w:eastAsia="Times New Roman" w:hAnsi="Century Schoolbook"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36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0F3626"/>
    <w:rPr>
      <w:rFonts w:asciiTheme="majorHAnsi" w:eastAsiaTheme="majorEastAsia" w:hAnsiTheme="majorHAnsi" w:cstheme="majorBidi"/>
      <w:color w:val="17365D" w:themeColor="text2" w:themeShade="BF"/>
      <w:spacing w:val="5"/>
      <w:kern w:val="28"/>
      <w:sz w:val="52"/>
      <w:szCs w:val="52"/>
      <w14:ligatures w14:val="standard"/>
      <w14:cntxtAlts/>
    </w:rPr>
  </w:style>
  <w:style w:type="paragraph" w:styleId="Subtitle">
    <w:name w:val="Subtitle"/>
    <w:basedOn w:val="Normal"/>
    <w:next w:val="Normal"/>
    <w:link w:val="SubtitleChar"/>
    <w:uiPriority w:val="11"/>
    <w:qFormat/>
    <w:rsid w:val="000F36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3626"/>
    <w:rPr>
      <w:rFonts w:asciiTheme="majorHAnsi" w:eastAsiaTheme="majorEastAsia" w:hAnsiTheme="majorHAnsi" w:cstheme="majorBidi"/>
      <w:i/>
      <w:iCs/>
      <w:color w:val="4F81BD" w:themeColor="accent1"/>
      <w:spacing w:val="15"/>
      <w:kern w:val="28"/>
      <w:sz w:val="24"/>
      <w:szCs w:val="24"/>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626"/>
    <w:pPr>
      <w:spacing w:after="96" w:line="264" w:lineRule="auto"/>
    </w:pPr>
    <w:rPr>
      <w:rFonts w:ascii="Century Schoolbook" w:eastAsia="Times New Roman" w:hAnsi="Century Schoolbook"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36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0F3626"/>
    <w:rPr>
      <w:rFonts w:asciiTheme="majorHAnsi" w:eastAsiaTheme="majorEastAsia" w:hAnsiTheme="majorHAnsi" w:cstheme="majorBidi"/>
      <w:color w:val="17365D" w:themeColor="text2" w:themeShade="BF"/>
      <w:spacing w:val="5"/>
      <w:kern w:val="28"/>
      <w:sz w:val="52"/>
      <w:szCs w:val="52"/>
      <w14:ligatures w14:val="standard"/>
      <w14:cntxtAlts/>
    </w:rPr>
  </w:style>
  <w:style w:type="paragraph" w:styleId="Subtitle">
    <w:name w:val="Subtitle"/>
    <w:basedOn w:val="Normal"/>
    <w:next w:val="Normal"/>
    <w:link w:val="SubtitleChar"/>
    <w:uiPriority w:val="11"/>
    <w:qFormat/>
    <w:rsid w:val="000F36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3626"/>
    <w:rPr>
      <w:rFonts w:asciiTheme="majorHAnsi" w:eastAsiaTheme="majorEastAsia" w:hAnsiTheme="majorHAnsi" w:cstheme="majorBidi"/>
      <w:i/>
      <w:iCs/>
      <w:color w:val="4F81BD" w:themeColor="accent1"/>
      <w:spacing w:val="15"/>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 Assistant</dc:creator>
  <cp:lastModifiedBy>Development Assistant</cp:lastModifiedBy>
  <cp:revision>1</cp:revision>
  <dcterms:created xsi:type="dcterms:W3CDTF">2015-04-24T14:51:00Z</dcterms:created>
  <dcterms:modified xsi:type="dcterms:W3CDTF">2015-04-24T14:54:00Z</dcterms:modified>
</cp:coreProperties>
</file>