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37" w:type="pct"/>
        <w:jc w:val="center"/>
        <w:tblCellSpacing w:w="0" w:type="dxa"/>
        <w:tblCellMar>
          <w:left w:w="0" w:type="dxa"/>
          <w:right w:w="0" w:type="dxa"/>
        </w:tblCellMar>
        <w:tblLook w:val="04A0" w:firstRow="1" w:lastRow="0" w:firstColumn="1" w:lastColumn="0" w:noHBand="0" w:noVBand="1"/>
      </w:tblPr>
      <w:tblGrid>
        <w:gridCol w:w="10500"/>
      </w:tblGrid>
      <w:tr w:rsidR="00C13350" w:rsidTr="0051519A">
        <w:trPr>
          <w:tblCellSpacing w:w="0" w:type="dxa"/>
          <w:jc w:val="center"/>
        </w:trPr>
        <w:tc>
          <w:tcPr>
            <w:tcW w:w="5000" w:type="pct"/>
            <w:shd w:val="clear" w:color="auto" w:fill="FFFFFF"/>
            <w:vAlign w:val="center"/>
            <w:hideMark/>
          </w:tcPr>
          <w:tbl>
            <w:tblPr>
              <w:tblW w:w="9360" w:type="dxa"/>
              <w:jc w:val="center"/>
              <w:tblCellMar>
                <w:left w:w="0" w:type="dxa"/>
                <w:right w:w="0" w:type="dxa"/>
              </w:tblCellMar>
              <w:tblLook w:val="04A0" w:firstRow="1" w:lastRow="0" w:firstColumn="1" w:lastColumn="0" w:noHBand="0" w:noVBand="1"/>
            </w:tblPr>
            <w:tblGrid>
              <w:gridCol w:w="10500"/>
            </w:tblGrid>
            <w:tr w:rsidR="00C13350" w:rsidTr="00C13350">
              <w:trPr>
                <w:jc w:val="center"/>
              </w:trPr>
              <w:tc>
                <w:tcPr>
                  <w:tcW w:w="0" w:type="auto"/>
                  <w:tcMar>
                    <w:top w:w="150" w:type="dxa"/>
                    <w:left w:w="150" w:type="dxa"/>
                    <w:bottom w:w="150" w:type="dxa"/>
                    <w:right w:w="150" w:type="dxa"/>
                  </w:tcMar>
                  <w:hideMark/>
                </w:tcPr>
                <w:p w:rsidR="00C13350" w:rsidRDefault="00C13350">
                  <w:pPr>
                    <w:pStyle w:val="Heading1"/>
                    <w:spacing w:before="0" w:beforeAutospacing="0" w:after="75" w:afterAutospacing="0"/>
                    <w:rPr>
                      <w:rFonts w:ascii="Helvetica" w:eastAsia="Times New Roman" w:hAnsi="Helvetica"/>
                      <w:color w:val="002B5D"/>
                      <w:sz w:val="39"/>
                      <w:szCs w:val="39"/>
                    </w:rPr>
                  </w:pPr>
                  <w:r>
                    <w:rPr>
                      <w:rFonts w:ascii="Helvetica" w:eastAsia="Times New Roman" w:hAnsi="Helvetica"/>
                      <w:color w:val="002B5D"/>
                      <w:sz w:val="39"/>
                      <w:szCs w:val="39"/>
                    </w:rPr>
                    <w:t>Twin Cities Metro Region Hits Record-High Population, Surpasses 3 Million Residents</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Contact: Kate Brickman</w:t>
                  </w:r>
                  <w:r>
                    <w:rPr>
                      <w:rFonts w:ascii="Helvetica" w:hAnsi="Helvetica"/>
                      <w:color w:val="262626"/>
                      <w:sz w:val="18"/>
                      <w:szCs w:val="18"/>
                    </w:rPr>
                    <w:br/>
                    <w:t>Metropolitan Council Communications Director</w:t>
                  </w:r>
                  <w:r>
                    <w:rPr>
                      <w:rFonts w:ascii="Helvetica" w:hAnsi="Helvetica"/>
                      <w:color w:val="262626"/>
                      <w:sz w:val="18"/>
                      <w:szCs w:val="18"/>
                    </w:rPr>
                    <w:br/>
                  </w:r>
                  <w:r>
                    <w:rPr>
                      <w:rStyle w:val="baec5a81-e4d6-4674-97f3-e9220f0136c1"/>
                      <w:rFonts w:ascii="Helvetica" w:hAnsi="Helvetica"/>
                      <w:color w:val="262626"/>
                      <w:sz w:val="18"/>
                      <w:szCs w:val="18"/>
                    </w:rPr>
                    <w:t xml:space="preserve">651-602-1518 </w:t>
                  </w:r>
                  <w:r>
                    <w:rPr>
                      <w:rFonts w:ascii="Helvetica" w:hAnsi="Helvetica"/>
                      <w:color w:val="262626"/>
                      <w:sz w:val="18"/>
                      <w:szCs w:val="18"/>
                    </w:rPr>
                    <w:t>office</w:t>
                  </w:r>
                  <w:r>
                    <w:rPr>
                      <w:rFonts w:ascii="Helvetica" w:hAnsi="Helvetica"/>
                      <w:color w:val="262626"/>
                      <w:sz w:val="18"/>
                      <w:szCs w:val="18"/>
                    </w:rPr>
                    <w:br/>
                  </w:r>
                  <w:hyperlink r:id="rId5" w:history="1">
                    <w:r>
                      <w:rPr>
                        <w:rStyle w:val="Hyperlink"/>
                        <w:rFonts w:ascii="Helvetica" w:hAnsi="Helvetica"/>
                        <w:color w:val="0055A5"/>
                        <w:sz w:val="18"/>
                        <w:szCs w:val="18"/>
                      </w:rPr>
                      <w:t>Kate.brickman@metc.state.mn.us</w:t>
                    </w:r>
                  </w:hyperlink>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Saint Paul – March 24, 2016 – The Twin Cities Metropolitan Region has reached its highest population in history, surpassing more than 3 million residents.</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The U.S. Census Bureau released its population estimates for 2015 on Thursday, sh</w:t>
                  </w:r>
                  <w:bookmarkStart w:id="0" w:name="_GoBack"/>
                  <w:bookmarkEnd w:id="0"/>
                  <w:r>
                    <w:rPr>
                      <w:rFonts w:ascii="Helvetica" w:hAnsi="Helvetica"/>
                      <w:color w:val="262626"/>
                      <w:sz w:val="18"/>
                      <w:szCs w:val="18"/>
                    </w:rPr>
                    <w:t>owing a population increase of more than 162,000 people for the seven-county metro region since 2010. The seven-county area includes Anoka, Carver, Dakota, Hennepin, Ramsey, Scott, and Washington Counties. The estimated population count for the region as of July 1, 2015 is 3,012,117, a 5.7% increase over five years.</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“Hitting this historic mark shows that our region is thriving – people want to live here, to work here, to raise their families here," said Metropolitan Council Chair Adam </w:t>
                  </w:r>
                  <w:proofErr w:type="spellStart"/>
                  <w:r>
                    <w:rPr>
                      <w:rFonts w:ascii="Helvetica" w:hAnsi="Helvetica"/>
                      <w:color w:val="262626"/>
                      <w:sz w:val="18"/>
                      <w:szCs w:val="18"/>
                    </w:rPr>
                    <w:t>Duininck</w:t>
                  </w:r>
                  <w:proofErr w:type="spellEnd"/>
                  <w:r>
                    <w:rPr>
                      <w:rFonts w:ascii="Helvetica" w:hAnsi="Helvetica"/>
                      <w:color w:val="262626"/>
                      <w:sz w:val="18"/>
                      <w:szCs w:val="18"/>
                    </w:rPr>
                    <w:t>. "As we at the Met Council focus on how to foster efficient growth across the region, this milestone assures us that these efforts are paying off.”</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Further analysis of the U.S. Census Bureau data by Met Council shows the region accounted for 88% of the state’s net population growth since 2010. The Twin Cities region collectively has 55% of the state’s population.  (See Chart 1)</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 xml:space="preserve">The data also shows that the metropolitan region is growing at a faster rate than the national increase (4.1%), as well as more established metro regions like Boston, New York and Chicago. This growth rate focuses on a broader 16-county metropolitan region, which is the statistical </w:t>
                  </w:r>
                  <w:proofErr w:type="gramStart"/>
                  <w:r>
                    <w:rPr>
                      <w:rFonts w:ascii="Helvetica" w:hAnsi="Helvetica"/>
                      <w:color w:val="262626"/>
                      <w:sz w:val="18"/>
                      <w:szCs w:val="18"/>
                    </w:rPr>
                    <w:t>area</w:t>
                  </w:r>
                  <w:proofErr w:type="gramEnd"/>
                  <w:r>
                    <w:rPr>
                      <w:rFonts w:ascii="Helvetica" w:hAnsi="Helvetica"/>
                      <w:color w:val="262626"/>
                      <w:sz w:val="18"/>
                      <w:szCs w:val="18"/>
                    </w:rPr>
                    <w:t xml:space="preserve"> the U.S. Census Bureau uses. When looking at that broader statistical metro region, we experienced the 17th-fastest growth rate among the country’s 25 most populous metro areas. (See Chart 2) Among major metro areas in the Midwest, the Twin Cities’ growth rate is the third-highest. (See Chart 3)</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“The Met Council works to ensure our region can compete against our peer regions, places like Denver, Dallas, and Seattle. We compete for businesses and a talented workforce. While we rate well compared to other large regions in the Midwest, there is room for improvement,” said </w:t>
                  </w:r>
                  <w:proofErr w:type="spellStart"/>
                  <w:r>
                    <w:rPr>
                      <w:rFonts w:ascii="Helvetica" w:hAnsi="Helvetica"/>
                      <w:color w:val="262626"/>
                      <w:sz w:val="18"/>
                      <w:szCs w:val="18"/>
                    </w:rPr>
                    <w:t>Duininck</w:t>
                  </w:r>
                  <w:proofErr w:type="spellEnd"/>
                  <w:r>
                    <w:rPr>
                      <w:rFonts w:ascii="Helvetica" w:hAnsi="Helvetica"/>
                      <w:color w:val="262626"/>
                      <w:sz w:val="18"/>
                      <w:szCs w:val="18"/>
                    </w:rPr>
                    <w:t>.</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 xml:space="preserve">“When looking at the </w:t>
                  </w:r>
                  <w:proofErr w:type="spellStart"/>
                  <w:r w:rsidR="00563706">
                    <w:rPr>
                      <w:rFonts w:ascii="Helvetica" w:hAnsi="Helvetica"/>
                      <w:color w:val="262626"/>
                      <w:sz w:val="18"/>
                      <w:szCs w:val="18"/>
                    </w:rPr>
                    <w:t>regions</w:t>
                  </w:r>
                  <w:proofErr w:type="spellEnd"/>
                  <w:r>
                    <w:rPr>
                      <w:rFonts w:ascii="Helvetica" w:hAnsi="Helvetica"/>
                      <w:color w:val="262626"/>
                      <w:sz w:val="18"/>
                      <w:szCs w:val="18"/>
                    </w:rPr>
                    <w:t xml:space="preserve"> growing faster than ours, one of the common threads is a strong regional transit system. As we continue to grow as a region, we are not keeping up when it comes to investments in our infrastructure,” continued </w:t>
                  </w:r>
                  <w:proofErr w:type="spellStart"/>
                  <w:r>
                    <w:rPr>
                      <w:rFonts w:ascii="Helvetica" w:hAnsi="Helvetica"/>
                      <w:color w:val="262626"/>
                      <w:sz w:val="18"/>
                      <w:szCs w:val="18"/>
                    </w:rPr>
                    <w:t>Duininck</w:t>
                  </w:r>
                  <w:proofErr w:type="spellEnd"/>
                  <w:r>
                    <w:rPr>
                      <w:rFonts w:ascii="Helvetica" w:hAnsi="Helvetica"/>
                      <w:color w:val="262626"/>
                      <w:sz w:val="18"/>
                      <w:szCs w:val="18"/>
                    </w:rPr>
                    <w:t>. “With more people choosing to live here, we need to provide transportation options. More transit will keep moving people and goods throughout our region efficiently, without adding to traffic congestion. A growing region means we need a growing transit system.”</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About two-thirds of the Twin Cities region’s growth came from “natural increase” (more people are being born than are dying). The remainder of the increase came from international migration (more people are moving into the region from outside the U.S. than are moving out).</w:t>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The Census Bureau’s county population estimates serve as a consistency check for the official Metropolitan Council population estimates for cities and townships in the Twin Cities region. These estimates will be prepared and delivered to cities in May 2016 for their review, then certified and released in July.</w:t>
                  </w:r>
                </w:p>
                <w:p w:rsidR="00C13350" w:rsidRDefault="00C13350">
                  <w:pPr>
                    <w:pStyle w:val="Heading2"/>
                    <w:spacing w:before="75" w:beforeAutospacing="0" w:after="60" w:afterAutospacing="0"/>
                    <w:rPr>
                      <w:rFonts w:ascii="Helvetica" w:eastAsia="Times New Roman" w:hAnsi="Helvetica"/>
                      <w:color w:val="0055A5"/>
                      <w:sz w:val="26"/>
                      <w:szCs w:val="26"/>
                    </w:rPr>
                  </w:pPr>
                </w:p>
                <w:p w:rsidR="00C13350" w:rsidRDefault="00C13350">
                  <w:pPr>
                    <w:pStyle w:val="Heading2"/>
                    <w:spacing w:before="75" w:beforeAutospacing="0" w:after="60" w:afterAutospacing="0"/>
                    <w:rPr>
                      <w:rFonts w:ascii="Helvetica" w:eastAsia="Times New Roman" w:hAnsi="Helvetica"/>
                      <w:color w:val="0055A5"/>
                      <w:sz w:val="26"/>
                      <w:szCs w:val="26"/>
                    </w:rPr>
                  </w:pPr>
                </w:p>
                <w:p w:rsidR="00C13350" w:rsidRDefault="00C13350">
                  <w:pPr>
                    <w:pStyle w:val="Heading2"/>
                    <w:spacing w:before="75" w:beforeAutospacing="0" w:after="60" w:afterAutospacing="0"/>
                    <w:rPr>
                      <w:rFonts w:ascii="Helvetica" w:eastAsia="Times New Roman" w:hAnsi="Helvetica"/>
                      <w:color w:val="0055A5"/>
                      <w:sz w:val="26"/>
                      <w:szCs w:val="26"/>
                    </w:rPr>
                  </w:pPr>
                </w:p>
                <w:p w:rsidR="00C13350" w:rsidRDefault="00C13350">
                  <w:pPr>
                    <w:pStyle w:val="Heading2"/>
                    <w:spacing w:before="75" w:beforeAutospacing="0" w:after="60" w:afterAutospacing="0"/>
                    <w:rPr>
                      <w:rFonts w:ascii="Helvetica" w:eastAsia="Times New Roman" w:hAnsi="Helvetica"/>
                      <w:color w:val="0055A5"/>
                      <w:sz w:val="26"/>
                      <w:szCs w:val="26"/>
                    </w:rPr>
                  </w:pPr>
                </w:p>
                <w:p w:rsidR="00C13350" w:rsidRDefault="00C13350">
                  <w:pPr>
                    <w:pStyle w:val="Heading2"/>
                    <w:spacing w:before="75" w:beforeAutospacing="0" w:after="60" w:afterAutospacing="0"/>
                    <w:rPr>
                      <w:rFonts w:ascii="Helvetica" w:eastAsia="Times New Roman" w:hAnsi="Helvetica"/>
                      <w:color w:val="0055A5"/>
                      <w:sz w:val="26"/>
                      <w:szCs w:val="26"/>
                    </w:rPr>
                  </w:pPr>
                  <w:r>
                    <w:rPr>
                      <w:rFonts w:ascii="Helvetica" w:eastAsia="Times New Roman" w:hAnsi="Helvetica"/>
                      <w:color w:val="0055A5"/>
                      <w:sz w:val="26"/>
                      <w:szCs w:val="26"/>
                    </w:rPr>
                    <w:br/>
                    <w:t>Chart 1</w:t>
                  </w:r>
                </w:p>
                <w:p w:rsidR="00C13350" w:rsidRDefault="00C13350">
                  <w:pPr>
                    <w:rPr>
                      <w:rFonts w:ascii="Times New Roman" w:hAnsi="Times New Roman"/>
                      <w:sz w:val="24"/>
                      <w:szCs w:val="24"/>
                    </w:rPr>
                  </w:pPr>
                  <w:r>
                    <w:rPr>
                      <w:noProof/>
                    </w:rPr>
                    <w:lastRenderedPageBreak/>
                    <w:drawing>
                      <wp:inline distT="0" distB="0" distL="0" distR="0" wp14:anchorId="419954EF" wp14:editId="325C36C2">
                        <wp:extent cx="6353175" cy="3019425"/>
                        <wp:effectExtent l="0" t="0" r="9525" b="9525"/>
                        <wp:docPr id="4" name="Picture 4"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3175" cy="3019425"/>
                                </a:xfrm>
                                <a:prstGeom prst="rect">
                                  <a:avLst/>
                                </a:prstGeom>
                                <a:noFill/>
                                <a:ln>
                                  <a:noFill/>
                                </a:ln>
                              </pic:spPr>
                            </pic:pic>
                          </a:graphicData>
                        </a:graphic>
                      </wp:inline>
                    </w:drawing>
                  </w:r>
                </w:p>
                <w:p w:rsidR="00C13350" w:rsidRDefault="00C13350">
                  <w:pPr>
                    <w:pStyle w:val="Heading2"/>
                    <w:spacing w:before="75" w:beforeAutospacing="0" w:after="60" w:afterAutospacing="0"/>
                    <w:rPr>
                      <w:rFonts w:ascii="Helvetica" w:eastAsia="Times New Roman" w:hAnsi="Helvetica"/>
                      <w:color w:val="0055A5"/>
                      <w:sz w:val="26"/>
                      <w:szCs w:val="26"/>
                    </w:rPr>
                  </w:pPr>
                  <w:r>
                    <w:rPr>
                      <w:rFonts w:ascii="Helvetica" w:eastAsia="Times New Roman" w:hAnsi="Helvetica"/>
                      <w:color w:val="0055A5"/>
                      <w:sz w:val="26"/>
                      <w:szCs w:val="26"/>
                    </w:rPr>
                    <w:br/>
                    <w:t>Chart 2</w:t>
                  </w:r>
                </w:p>
                <w:p w:rsidR="00C13350" w:rsidRDefault="00C13350">
                  <w:pPr>
                    <w:rPr>
                      <w:rFonts w:ascii="Times New Roman" w:hAnsi="Times New Roman"/>
                      <w:sz w:val="24"/>
                      <w:szCs w:val="24"/>
                    </w:rPr>
                  </w:pPr>
                  <w:r>
                    <w:rPr>
                      <w:noProof/>
                    </w:rPr>
                    <w:drawing>
                      <wp:inline distT="0" distB="0" distL="0" distR="0" wp14:anchorId="16AD7377" wp14:editId="17335E8B">
                        <wp:extent cx="6324600" cy="3762375"/>
                        <wp:effectExtent l="0" t="0" r="0" b="9525"/>
                        <wp:docPr id="3" name="Picture 3" descr="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3762375"/>
                                </a:xfrm>
                                <a:prstGeom prst="rect">
                                  <a:avLst/>
                                </a:prstGeom>
                                <a:noFill/>
                                <a:ln>
                                  <a:noFill/>
                                </a:ln>
                              </pic:spPr>
                            </pic:pic>
                          </a:graphicData>
                        </a:graphic>
                      </wp:inline>
                    </w:drawing>
                  </w:r>
                </w:p>
                <w:p w:rsidR="00C13350" w:rsidRDefault="00C13350">
                  <w:pPr>
                    <w:pStyle w:val="gdp"/>
                    <w:spacing w:before="240" w:beforeAutospacing="0" w:after="0" w:afterAutospacing="0"/>
                    <w:rPr>
                      <w:rFonts w:ascii="Helvetica" w:hAnsi="Helvetica"/>
                      <w:color w:val="262626"/>
                      <w:sz w:val="18"/>
                      <w:szCs w:val="18"/>
                    </w:rPr>
                  </w:pPr>
                  <w:r>
                    <w:rPr>
                      <w:rFonts w:ascii="Helvetica" w:hAnsi="Helvetica"/>
                      <w:color w:val="262626"/>
                      <w:sz w:val="18"/>
                      <w:szCs w:val="18"/>
                    </w:rPr>
                    <w:t xml:space="preserve">* In addition to the seven counties in the Twin Cities region, the U.S. Census Bureau includes 9 additional counties for its metropolitan statistical area. Those statistics include Chisago, Isanti, Le Sueur, Mille Lacs, Sherburne, Sibley, and Wright Counties in Minnesota and Pierce and St. Croix Counties in Wisconsin. According to the Census Bureau’s 2015 population estimates, the Twin Cities region constitutes 85% of the 16-county metropolitan area’s population and 93% of the metropolitan </w:t>
                  </w:r>
                  <w:r>
                    <w:rPr>
                      <w:rFonts w:ascii="Helvetica" w:hAnsi="Helvetica"/>
                      <w:color w:val="262626"/>
                      <w:sz w:val="18"/>
                      <w:szCs w:val="18"/>
                    </w:rPr>
                    <w:lastRenderedPageBreak/>
                    <w:t>area’s net population growth since 2010.</w:t>
                  </w:r>
                </w:p>
                <w:p w:rsidR="00C13350" w:rsidRDefault="00C13350">
                  <w:pPr>
                    <w:pStyle w:val="Heading2"/>
                    <w:spacing w:before="0" w:beforeAutospacing="0" w:after="0" w:afterAutospacing="0"/>
                    <w:rPr>
                      <w:rFonts w:ascii="Helvetica" w:eastAsia="Times New Roman" w:hAnsi="Helvetica"/>
                      <w:color w:val="0055A5"/>
                      <w:sz w:val="26"/>
                      <w:szCs w:val="26"/>
                    </w:rPr>
                  </w:pPr>
                  <w:r>
                    <w:rPr>
                      <w:rFonts w:ascii="Helvetica" w:eastAsia="Times New Roman" w:hAnsi="Helvetica"/>
                      <w:color w:val="0055A5"/>
                      <w:sz w:val="26"/>
                      <w:szCs w:val="26"/>
                    </w:rPr>
                    <w:br/>
                    <w:t>Chart 3</w:t>
                  </w:r>
                </w:p>
                <w:p w:rsidR="00C13350" w:rsidRDefault="00C13350">
                  <w:pPr>
                    <w:rPr>
                      <w:rFonts w:ascii="Times New Roman" w:hAnsi="Times New Roman"/>
                      <w:sz w:val="24"/>
                      <w:szCs w:val="24"/>
                    </w:rPr>
                  </w:pPr>
                  <w:r>
                    <w:rPr>
                      <w:noProof/>
                    </w:rPr>
                    <w:drawing>
                      <wp:inline distT="0" distB="0" distL="0" distR="0" wp14:anchorId="28BECAD2" wp14:editId="3A77A957">
                        <wp:extent cx="6267450" cy="3752850"/>
                        <wp:effectExtent l="0" t="0" r="0" b="0"/>
                        <wp:docPr id="2" name="Picture 2" descr="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3752850"/>
                                </a:xfrm>
                                <a:prstGeom prst="rect">
                                  <a:avLst/>
                                </a:prstGeom>
                                <a:noFill/>
                                <a:ln>
                                  <a:noFill/>
                                </a:ln>
                              </pic:spPr>
                            </pic:pic>
                          </a:graphicData>
                        </a:graphic>
                      </wp:inline>
                    </w:drawing>
                  </w:r>
                </w:p>
                <w:p w:rsidR="00C13350" w:rsidRDefault="00C13350">
                  <w:pPr>
                    <w:pStyle w:val="gdp"/>
                    <w:spacing w:before="0" w:beforeAutospacing="0" w:after="240" w:afterAutospacing="0"/>
                    <w:jc w:val="center"/>
                    <w:rPr>
                      <w:rFonts w:ascii="Helvetica" w:hAnsi="Helvetica"/>
                      <w:color w:val="262626"/>
                      <w:sz w:val="18"/>
                      <w:szCs w:val="18"/>
                    </w:rPr>
                  </w:pPr>
                  <w:r>
                    <w:rPr>
                      <w:rFonts w:ascii="Helvetica" w:hAnsi="Helvetica"/>
                      <w:color w:val="262626"/>
                      <w:sz w:val="18"/>
                      <w:szCs w:val="18"/>
                    </w:rPr>
                    <w:br/>
                    <w:t>#</w:t>
                  </w:r>
                </w:p>
              </w:tc>
            </w:tr>
            <w:tr w:rsidR="00C13350" w:rsidTr="00C13350">
              <w:trPr>
                <w:jc w:val="center"/>
              </w:trPr>
              <w:tc>
                <w:tcPr>
                  <w:tcW w:w="0" w:type="auto"/>
                  <w:hideMark/>
                </w:tcPr>
                <w:p w:rsidR="00C13350" w:rsidRDefault="00C13350">
                  <w:pPr>
                    <w:rPr>
                      <w:sz w:val="24"/>
                      <w:szCs w:val="24"/>
                    </w:rPr>
                  </w:pPr>
                  <w:r>
                    <w:rPr>
                      <w:noProof/>
                    </w:rPr>
                    <w:lastRenderedPageBreak/>
                    <w:drawing>
                      <wp:inline distT="0" distB="0" distL="0" distR="0" wp14:anchorId="1BA83A49" wp14:editId="1FD0C788">
                        <wp:extent cx="6667500" cy="800100"/>
                        <wp:effectExtent l="0" t="0" r="0" b="0"/>
                        <wp:docPr id="1" name="Picture 1" descr="http://content.govdelivery.com/attachments/fancy_images/MNORGMETC/2012/08/118217/128406/metcfooter_original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ntent.govdelivery.com/attachments/fancy_images/MNORGMETC/2012/08/118217/128406/metcfooter_original_cr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0" cy="800100"/>
                                </a:xfrm>
                                <a:prstGeom prst="rect">
                                  <a:avLst/>
                                </a:prstGeom>
                                <a:noFill/>
                                <a:ln>
                                  <a:noFill/>
                                </a:ln>
                              </pic:spPr>
                            </pic:pic>
                          </a:graphicData>
                        </a:graphic>
                      </wp:inline>
                    </w:drawing>
                  </w:r>
                </w:p>
              </w:tc>
            </w:tr>
          </w:tbl>
          <w:p w:rsidR="00C13350" w:rsidRDefault="00C13350">
            <w:pPr>
              <w:jc w:val="center"/>
              <w:rPr>
                <w:rFonts w:eastAsia="Times New Roman"/>
                <w:sz w:val="20"/>
                <w:szCs w:val="20"/>
              </w:rPr>
            </w:pPr>
          </w:p>
        </w:tc>
      </w:tr>
    </w:tbl>
    <w:p w:rsidR="00C13350" w:rsidRDefault="00C13350" w:rsidP="00C13350">
      <w:pPr>
        <w:rPr>
          <w:vanish/>
        </w:rPr>
      </w:pPr>
    </w:p>
    <w:p w:rsidR="00115E2A" w:rsidRDefault="00115E2A" w:rsidP="00C13350">
      <w:pPr>
        <w:shd w:val="clear" w:color="auto" w:fill="FFFFFF"/>
        <w:spacing w:before="100" w:beforeAutospacing="1" w:after="100" w:afterAutospacing="1"/>
      </w:pPr>
    </w:p>
    <w:sectPr w:rsidR="0011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821"/>
    <w:rsid w:val="00115E2A"/>
    <w:rsid w:val="0051519A"/>
    <w:rsid w:val="00563706"/>
    <w:rsid w:val="008B13E4"/>
    <w:rsid w:val="00A61643"/>
    <w:rsid w:val="00C13350"/>
    <w:rsid w:val="00C351CE"/>
    <w:rsid w:val="00C9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821"/>
    <w:pPr>
      <w:spacing w:after="0" w:line="240" w:lineRule="auto"/>
    </w:pPr>
    <w:rPr>
      <w:rFonts w:ascii="Calibri" w:hAnsi="Calibri" w:cs="Times New Roman"/>
    </w:rPr>
  </w:style>
  <w:style w:type="paragraph" w:styleId="Heading1">
    <w:name w:val="heading 1"/>
    <w:basedOn w:val="Normal"/>
    <w:link w:val="Heading1Char"/>
    <w:uiPriority w:val="9"/>
    <w:qFormat/>
    <w:rsid w:val="00C13350"/>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semiHidden/>
    <w:unhideWhenUsed/>
    <w:qFormat/>
    <w:rsid w:val="00C1335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51CE"/>
    <w:rPr>
      <w:color w:val="0000FF"/>
      <w:u w:val="single"/>
    </w:rPr>
  </w:style>
  <w:style w:type="character" w:customStyle="1" w:styleId="Heading1Char">
    <w:name w:val="Heading 1 Char"/>
    <w:basedOn w:val="DefaultParagraphFont"/>
    <w:link w:val="Heading1"/>
    <w:uiPriority w:val="9"/>
    <w:rsid w:val="00C1335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13350"/>
    <w:rPr>
      <w:rFonts w:ascii="Times New Roman" w:hAnsi="Times New Roman" w:cs="Times New Roman"/>
      <w:b/>
      <w:bCs/>
      <w:sz w:val="36"/>
      <w:szCs w:val="36"/>
    </w:rPr>
  </w:style>
  <w:style w:type="paragraph" w:customStyle="1" w:styleId="gdp">
    <w:name w:val="gd_p"/>
    <w:basedOn w:val="Normal"/>
    <w:uiPriority w:val="99"/>
    <w:rsid w:val="00C13350"/>
    <w:pPr>
      <w:spacing w:before="100" w:beforeAutospacing="1" w:after="100" w:afterAutospacing="1"/>
    </w:pPr>
    <w:rPr>
      <w:rFonts w:ascii="Times New Roman" w:hAnsi="Times New Roman"/>
      <w:sz w:val="24"/>
      <w:szCs w:val="24"/>
    </w:rPr>
  </w:style>
  <w:style w:type="character" w:customStyle="1" w:styleId="baec5a81-e4d6-4674-97f3-e9220f0136c1">
    <w:name w:val="baec5a81-e4d6-4674-97f3-e9220f0136c1"/>
    <w:basedOn w:val="DefaultParagraphFont"/>
    <w:rsid w:val="00C13350"/>
  </w:style>
  <w:style w:type="paragraph" w:styleId="BalloonText">
    <w:name w:val="Balloon Text"/>
    <w:basedOn w:val="Normal"/>
    <w:link w:val="BalloonTextChar"/>
    <w:uiPriority w:val="99"/>
    <w:semiHidden/>
    <w:unhideWhenUsed/>
    <w:rsid w:val="00C13350"/>
    <w:rPr>
      <w:rFonts w:ascii="Tahoma" w:hAnsi="Tahoma" w:cs="Tahoma"/>
      <w:sz w:val="16"/>
      <w:szCs w:val="16"/>
    </w:rPr>
  </w:style>
  <w:style w:type="character" w:customStyle="1" w:styleId="BalloonTextChar">
    <w:name w:val="Balloon Text Char"/>
    <w:basedOn w:val="DefaultParagraphFont"/>
    <w:link w:val="BalloonText"/>
    <w:uiPriority w:val="99"/>
    <w:semiHidden/>
    <w:rsid w:val="00C13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821"/>
    <w:pPr>
      <w:spacing w:after="0" w:line="240" w:lineRule="auto"/>
    </w:pPr>
    <w:rPr>
      <w:rFonts w:ascii="Calibri" w:hAnsi="Calibri" w:cs="Times New Roman"/>
    </w:rPr>
  </w:style>
  <w:style w:type="paragraph" w:styleId="Heading1">
    <w:name w:val="heading 1"/>
    <w:basedOn w:val="Normal"/>
    <w:link w:val="Heading1Char"/>
    <w:uiPriority w:val="9"/>
    <w:qFormat/>
    <w:rsid w:val="00C13350"/>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semiHidden/>
    <w:unhideWhenUsed/>
    <w:qFormat/>
    <w:rsid w:val="00C1335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51CE"/>
    <w:rPr>
      <w:color w:val="0000FF"/>
      <w:u w:val="single"/>
    </w:rPr>
  </w:style>
  <w:style w:type="character" w:customStyle="1" w:styleId="Heading1Char">
    <w:name w:val="Heading 1 Char"/>
    <w:basedOn w:val="DefaultParagraphFont"/>
    <w:link w:val="Heading1"/>
    <w:uiPriority w:val="9"/>
    <w:rsid w:val="00C13350"/>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13350"/>
    <w:rPr>
      <w:rFonts w:ascii="Times New Roman" w:hAnsi="Times New Roman" w:cs="Times New Roman"/>
      <w:b/>
      <w:bCs/>
      <w:sz w:val="36"/>
      <w:szCs w:val="36"/>
    </w:rPr>
  </w:style>
  <w:style w:type="paragraph" w:customStyle="1" w:styleId="gdp">
    <w:name w:val="gd_p"/>
    <w:basedOn w:val="Normal"/>
    <w:uiPriority w:val="99"/>
    <w:rsid w:val="00C13350"/>
    <w:pPr>
      <w:spacing w:before="100" w:beforeAutospacing="1" w:after="100" w:afterAutospacing="1"/>
    </w:pPr>
    <w:rPr>
      <w:rFonts w:ascii="Times New Roman" w:hAnsi="Times New Roman"/>
      <w:sz w:val="24"/>
      <w:szCs w:val="24"/>
    </w:rPr>
  </w:style>
  <w:style w:type="character" w:customStyle="1" w:styleId="baec5a81-e4d6-4674-97f3-e9220f0136c1">
    <w:name w:val="baec5a81-e4d6-4674-97f3-e9220f0136c1"/>
    <w:basedOn w:val="DefaultParagraphFont"/>
    <w:rsid w:val="00C13350"/>
  </w:style>
  <w:style w:type="paragraph" w:styleId="BalloonText">
    <w:name w:val="Balloon Text"/>
    <w:basedOn w:val="Normal"/>
    <w:link w:val="BalloonTextChar"/>
    <w:uiPriority w:val="99"/>
    <w:semiHidden/>
    <w:unhideWhenUsed/>
    <w:rsid w:val="00C13350"/>
    <w:rPr>
      <w:rFonts w:ascii="Tahoma" w:hAnsi="Tahoma" w:cs="Tahoma"/>
      <w:sz w:val="16"/>
      <w:szCs w:val="16"/>
    </w:rPr>
  </w:style>
  <w:style w:type="character" w:customStyle="1" w:styleId="BalloonTextChar">
    <w:name w:val="Balloon Text Char"/>
    <w:basedOn w:val="DefaultParagraphFont"/>
    <w:link w:val="BalloonText"/>
    <w:uiPriority w:val="99"/>
    <w:semiHidden/>
    <w:rsid w:val="00C13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86991">
      <w:bodyDiv w:val="1"/>
      <w:marLeft w:val="0"/>
      <w:marRight w:val="0"/>
      <w:marTop w:val="0"/>
      <w:marBottom w:val="0"/>
      <w:divBdr>
        <w:top w:val="none" w:sz="0" w:space="0" w:color="auto"/>
        <w:left w:val="none" w:sz="0" w:space="0" w:color="auto"/>
        <w:bottom w:val="none" w:sz="0" w:space="0" w:color="auto"/>
        <w:right w:val="none" w:sz="0" w:space="0" w:color="auto"/>
      </w:divBdr>
    </w:div>
    <w:div w:id="1294481827">
      <w:bodyDiv w:val="1"/>
      <w:marLeft w:val="0"/>
      <w:marRight w:val="0"/>
      <w:marTop w:val="0"/>
      <w:marBottom w:val="0"/>
      <w:divBdr>
        <w:top w:val="none" w:sz="0" w:space="0" w:color="auto"/>
        <w:left w:val="none" w:sz="0" w:space="0" w:color="auto"/>
        <w:bottom w:val="none" w:sz="0" w:space="0" w:color="auto"/>
        <w:right w:val="none" w:sz="0" w:space="0" w:color="auto"/>
      </w:divBdr>
    </w:div>
    <w:div w:id="1352604914">
      <w:bodyDiv w:val="1"/>
      <w:marLeft w:val="0"/>
      <w:marRight w:val="0"/>
      <w:marTop w:val="0"/>
      <w:marBottom w:val="0"/>
      <w:divBdr>
        <w:top w:val="none" w:sz="0" w:space="0" w:color="auto"/>
        <w:left w:val="none" w:sz="0" w:space="0" w:color="auto"/>
        <w:bottom w:val="none" w:sz="0" w:space="0" w:color="auto"/>
        <w:right w:val="none" w:sz="0" w:space="0" w:color="auto"/>
      </w:divBdr>
    </w:div>
    <w:div w:id="187669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Kate.brickman@metc.state.mn.u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ecorson</dc:creator>
  <cp:lastModifiedBy>ecorson</cp:lastModifiedBy>
  <cp:revision>4</cp:revision>
  <cp:lastPrinted>2015-12-04T21:46:00Z</cp:lastPrinted>
  <dcterms:created xsi:type="dcterms:W3CDTF">2016-03-25T17:14:00Z</dcterms:created>
  <dcterms:modified xsi:type="dcterms:W3CDTF">2016-03-25T18:00:00Z</dcterms:modified>
</cp:coreProperties>
</file>