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C0" w:rsidRPr="00BC2DC0" w:rsidRDefault="00BC18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2015 – New Generic Drugs and New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1745"/>
        <w:gridCol w:w="2935"/>
        <w:gridCol w:w="1350"/>
        <w:gridCol w:w="2160"/>
      </w:tblGrid>
      <w:tr w:rsidR="00FF1CA3" w:rsidTr="003C0621">
        <w:tc>
          <w:tcPr>
            <w:tcW w:w="11088" w:type="dxa"/>
            <w:gridSpan w:val="6"/>
          </w:tcPr>
          <w:p w:rsidR="00FF1CA3" w:rsidRPr="0077469C" w:rsidRDefault="00BC1863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New</w:t>
            </w:r>
            <w:r w:rsidR="00FF1CA3" w:rsidRPr="00BC2DC0">
              <w:rPr>
                <w:b/>
                <w:i/>
                <w:sz w:val="28"/>
                <w:szCs w:val="28"/>
              </w:rPr>
              <w:t xml:space="preserve"> Generics</w:t>
            </w:r>
          </w:p>
        </w:tc>
      </w:tr>
      <w:tr w:rsidR="00354AFD" w:rsidTr="00FF1CA3">
        <w:tc>
          <w:tcPr>
            <w:tcW w:w="1458" w:type="dxa"/>
          </w:tcPr>
          <w:p w:rsidR="00BC2DC0" w:rsidRPr="0077469C" w:rsidRDefault="0077469C">
            <w:pPr>
              <w:rPr>
                <w:b/>
                <w:i/>
              </w:rPr>
            </w:pPr>
            <w:r w:rsidRPr="0077469C">
              <w:rPr>
                <w:b/>
                <w:i/>
              </w:rPr>
              <w:t>Generic Name</w:t>
            </w:r>
          </w:p>
        </w:tc>
        <w:tc>
          <w:tcPr>
            <w:tcW w:w="1440" w:type="dxa"/>
          </w:tcPr>
          <w:p w:rsidR="00BC2DC0" w:rsidRPr="0077469C" w:rsidRDefault="0077469C">
            <w:pPr>
              <w:rPr>
                <w:b/>
                <w:i/>
              </w:rPr>
            </w:pPr>
            <w:r w:rsidRPr="0077469C">
              <w:rPr>
                <w:b/>
                <w:i/>
              </w:rPr>
              <w:t>Company (</w:t>
            </w:r>
            <w:proofErr w:type="spellStart"/>
            <w:r w:rsidRPr="0077469C">
              <w:rPr>
                <w:b/>
                <w:i/>
              </w:rPr>
              <w:t>ies</w:t>
            </w:r>
            <w:proofErr w:type="spellEnd"/>
            <w:r w:rsidRPr="0077469C">
              <w:rPr>
                <w:b/>
                <w:i/>
              </w:rPr>
              <w:t>)</w:t>
            </w:r>
          </w:p>
        </w:tc>
        <w:tc>
          <w:tcPr>
            <w:tcW w:w="1745" w:type="dxa"/>
          </w:tcPr>
          <w:p w:rsidR="00BC2DC0" w:rsidRPr="0077469C" w:rsidRDefault="0077469C">
            <w:pPr>
              <w:rPr>
                <w:b/>
                <w:i/>
              </w:rPr>
            </w:pPr>
            <w:r w:rsidRPr="0077469C">
              <w:rPr>
                <w:b/>
                <w:i/>
              </w:rPr>
              <w:t>Therapeutic Category</w:t>
            </w:r>
          </w:p>
        </w:tc>
        <w:tc>
          <w:tcPr>
            <w:tcW w:w="2935" w:type="dxa"/>
          </w:tcPr>
          <w:p w:rsidR="00BC2DC0" w:rsidRPr="0077469C" w:rsidRDefault="0077469C">
            <w:pPr>
              <w:rPr>
                <w:b/>
                <w:i/>
              </w:rPr>
            </w:pPr>
            <w:r w:rsidRPr="0077469C">
              <w:rPr>
                <w:b/>
                <w:i/>
              </w:rPr>
              <w:t>Strength(s) &amp; Dosage Form(s)</w:t>
            </w:r>
          </w:p>
        </w:tc>
        <w:tc>
          <w:tcPr>
            <w:tcW w:w="1350" w:type="dxa"/>
          </w:tcPr>
          <w:p w:rsidR="00BC2DC0" w:rsidRPr="0077469C" w:rsidRDefault="0077469C">
            <w:pPr>
              <w:rPr>
                <w:b/>
                <w:i/>
              </w:rPr>
            </w:pPr>
            <w:r>
              <w:rPr>
                <w:b/>
                <w:i/>
              </w:rPr>
              <w:t>Trade Name Equivalent</w:t>
            </w:r>
          </w:p>
        </w:tc>
        <w:tc>
          <w:tcPr>
            <w:tcW w:w="2160" w:type="dxa"/>
          </w:tcPr>
          <w:p w:rsidR="00BC2DC0" w:rsidRPr="0077469C" w:rsidRDefault="0077469C">
            <w:pPr>
              <w:rPr>
                <w:b/>
                <w:i/>
              </w:rPr>
            </w:pPr>
            <w:r w:rsidRPr="0077469C">
              <w:rPr>
                <w:b/>
                <w:i/>
              </w:rPr>
              <w:t>Comments/ Availability</w:t>
            </w:r>
          </w:p>
        </w:tc>
      </w:tr>
      <w:tr w:rsidR="00354AFD" w:rsidTr="00FF1CA3">
        <w:trPr>
          <w:trHeight w:val="917"/>
        </w:trPr>
        <w:tc>
          <w:tcPr>
            <w:tcW w:w="1458" w:type="dxa"/>
          </w:tcPr>
          <w:p w:rsidR="00BC2DC0" w:rsidRDefault="00FD748D">
            <w:r>
              <w:t>a</w:t>
            </w:r>
            <w:r w:rsidR="00C02501">
              <w:t>mlodipine /valsartan</w:t>
            </w:r>
          </w:p>
        </w:tc>
        <w:tc>
          <w:tcPr>
            <w:tcW w:w="1440" w:type="dxa"/>
          </w:tcPr>
          <w:p w:rsidR="00BC2DC0" w:rsidRDefault="00C02501">
            <w:r>
              <w:t>Sandoz</w:t>
            </w:r>
          </w:p>
        </w:tc>
        <w:tc>
          <w:tcPr>
            <w:tcW w:w="1745" w:type="dxa"/>
          </w:tcPr>
          <w:p w:rsidR="00BC2DC0" w:rsidRDefault="00FD748D">
            <w:r>
              <w:t>Antihypertensive</w:t>
            </w:r>
          </w:p>
        </w:tc>
        <w:tc>
          <w:tcPr>
            <w:tcW w:w="2935" w:type="dxa"/>
          </w:tcPr>
          <w:p w:rsidR="00BC2DC0" w:rsidRDefault="00C02501">
            <w:r>
              <w:t>5 mg/160mg, 5mg</w:t>
            </w:r>
            <w:r w:rsidR="00FD748D">
              <w:t>/320mg, 10mg/320mg tablets</w:t>
            </w:r>
          </w:p>
        </w:tc>
        <w:tc>
          <w:tcPr>
            <w:tcW w:w="1350" w:type="dxa"/>
          </w:tcPr>
          <w:p w:rsidR="00BC2DC0" w:rsidRDefault="00FD748D">
            <w:r>
              <w:t>EXFORGE</w:t>
            </w:r>
          </w:p>
        </w:tc>
        <w:tc>
          <w:tcPr>
            <w:tcW w:w="2160" w:type="dxa"/>
          </w:tcPr>
          <w:p w:rsidR="00BC2DC0" w:rsidRDefault="00FD748D">
            <w:r>
              <w:t>Now available</w:t>
            </w:r>
          </w:p>
        </w:tc>
      </w:tr>
      <w:tr w:rsidR="00FF1CA3" w:rsidTr="00FF1CA3">
        <w:tc>
          <w:tcPr>
            <w:tcW w:w="1458" w:type="dxa"/>
          </w:tcPr>
          <w:p w:rsidR="00FF1CA3" w:rsidRDefault="00FF1CA3" w:rsidP="008C3ED1">
            <w:proofErr w:type="spellStart"/>
            <w:r>
              <w:t>aripiprazole</w:t>
            </w:r>
            <w:proofErr w:type="spellEnd"/>
          </w:p>
        </w:tc>
        <w:tc>
          <w:tcPr>
            <w:tcW w:w="1440" w:type="dxa"/>
          </w:tcPr>
          <w:p w:rsidR="00FF1CA3" w:rsidRDefault="00FF1CA3" w:rsidP="008C3ED1">
            <w:r>
              <w:t xml:space="preserve">Alembic, Hetero, </w:t>
            </w:r>
            <w:proofErr w:type="spellStart"/>
            <w:r>
              <w:t>Teva</w:t>
            </w:r>
            <w:proofErr w:type="spellEnd"/>
            <w:r>
              <w:t>, Torrent</w:t>
            </w:r>
          </w:p>
        </w:tc>
        <w:tc>
          <w:tcPr>
            <w:tcW w:w="1745" w:type="dxa"/>
          </w:tcPr>
          <w:p w:rsidR="00FF1CA3" w:rsidRDefault="00FF1CA3" w:rsidP="008C3ED1">
            <w:r>
              <w:t xml:space="preserve">Antipsychotic / </w:t>
            </w:r>
            <w:proofErr w:type="spellStart"/>
            <w:r>
              <w:t>Antimanic</w:t>
            </w:r>
            <w:proofErr w:type="spellEnd"/>
            <w:r>
              <w:t xml:space="preserve"> Agent</w:t>
            </w:r>
          </w:p>
        </w:tc>
        <w:tc>
          <w:tcPr>
            <w:tcW w:w="2935" w:type="dxa"/>
          </w:tcPr>
          <w:p w:rsidR="00FF1CA3" w:rsidRDefault="00FF1CA3" w:rsidP="008C3ED1">
            <w:r>
              <w:t>2mg, 5mg, 10mg, 15mg, 20mg &amp; 30 mg tablets</w:t>
            </w:r>
          </w:p>
        </w:tc>
        <w:tc>
          <w:tcPr>
            <w:tcW w:w="1350" w:type="dxa"/>
          </w:tcPr>
          <w:p w:rsidR="00FF1CA3" w:rsidRDefault="00FF1CA3" w:rsidP="008C3ED1">
            <w:r>
              <w:t>ABILIFY</w:t>
            </w:r>
          </w:p>
        </w:tc>
        <w:tc>
          <w:tcPr>
            <w:tcW w:w="2160" w:type="dxa"/>
          </w:tcPr>
          <w:p w:rsidR="00FF1CA3" w:rsidRDefault="00FF1CA3" w:rsidP="008C3ED1">
            <w:r>
              <w:t xml:space="preserve">Launch announced by </w:t>
            </w:r>
            <w:proofErr w:type="spellStart"/>
            <w:r>
              <w:t>Teva</w:t>
            </w:r>
            <w:proofErr w:type="spellEnd"/>
          </w:p>
        </w:tc>
      </w:tr>
      <w:tr w:rsidR="00FF1CA3" w:rsidTr="00FF1CA3">
        <w:tc>
          <w:tcPr>
            <w:tcW w:w="1458" w:type="dxa"/>
          </w:tcPr>
          <w:p w:rsidR="00FF1CA3" w:rsidRDefault="00FF1CA3" w:rsidP="008C3ED1">
            <w:proofErr w:type="spellStart"/>
            <w:r>
              <w:t>darifenacin</w:t>
            </w:r>
            <w:proofErr w:type="spellEnd"/>
          </w:p>
        </w:tc>
        <w:tc>
          <w:tcPr>
            <w:tcW w:w="1440" w:type="dxa"/>
          </w:tcPr>
          <w:p w:rsidR="00FF1CA3" w:rsidRDefault="00FF1CA3" w:rsidP="008C3ED1">
            <w:proofErr w:type="spellStart"/>
            <w:r>
              <w:t>Anchen</w:t>
            </w:r>
            <w:proofErr w:type="spellEnd"/>
            <w:r>
              <w:t>/Par</w:t>
            </w:r>
          </w:p>
        </w:tc>
        <w:tc>
          <w:tcPr>
            <w:tcW w:w="1745" w:type="dxa"/>
          </w:tcPr>
          <w:p w:rsidR="00FF1CA3" w:rsidRDefault="00FF1CA3" w:rsidP="008C3ED1">
            <w:r>
              <w:t>Urinary Antispasmodics</w:t>
            </w:r>
          </w:p>
        </w:tc>
        <w:tc>
          <w:tcPr>
            <w:tcW w:w="2935" w:type="dxa"/>
          </w:tcPr>
          <w:p w:rsidR="00FF1CA3" w:rsidRDefault="00FF1CA3" w:rsidP="008C3ED1">
            <w:r>
              <w:t>7.5mg &amp; 15mg extended release tablets</w:t>
            </w:r>
          </w:p>
        </w:tc>
        <w:tc>
          <w:tcPr>
            <w:tcW w:w="1350" w:type="dxa"/>
          </w:tcPr>
          <w:p w:rsidR="00FF1CA3" w:rsidRDefault="00FF1CA3" w:rsidP="008C3ED1">
            <w:r>
              <w:t>ENABLEX</w:t>
            </w:r>
          </w:p>
        </w:tc>
        <w:tc>
          <w:tcPr>
            <w:tcW w:w="2160" w:type="dxa"/>
          </w:tcPr>
          <w:p w:rsidR="00FF1CA3" w:rsidRDefault="00FF1CA3" w:rsidP="008C3ED1">
            <w:r>
              <w:t>Now available</w:t>
            </w:r>
          </w:p>
        </w:tc>
      </w:tr>
      <w:tr w:rsidR="00FF1CA3" w:rsidTr="00FF1CA3">
        <w:tc>
          <w:tcPr>
            <w:tcW w:w="1458" w:type="dxa"/>
          </w:tcPr>
          <w:p w:rsidR="00FF1CA3" w:rsidRDefault="00FF1CA3" w:rsidP="008C3ED1">
            <w:r>
              <w:rPr>
                <w:rFonts w:ascii="Arial" w:hAnsi="Arial" w:cs="Arial"/>
                <w:color w:val="000000"/>
                <w:sz w:val="18"/>
                <w:szCs w:val="18"/>
              </w:rPr>
              <w:t>esomeprazole</w:t>
            </w:r>
          </w:p>
        </w:tc>
        <w:tc>
          <w:tcPr>
            <w:tcW w:w="1440" w:type="dxa"/>
          </w:tcPr>
          <w:p w:rsidR="00FF1CA3" w:rsidRDefault="00FF1CA3" w:rsidP="008C3ED1">
            <w:r>
              <w:t>Ivax</w:t>
            </w:r>
          </w:p>
        </w:tc>
        <w:tc>
          <w:tcPr>
            <w:tcW w:w="1745" w:type="dxa"/>
          </w:tcPr>
          <w:p w:rsidR="00FF1CA3" w:rsidRDefault="00FF1CA3" w:rsidP="008C3ED1">
            <w:r>
              <w:t>Proton Pump Inhibitor</w:t>
            </w:r>
          </w:p>
        </w:tc>
        <w:tc>
          <w:tcPr>
            <w:tcW w:w="2935" w:type="dxa"/>
          </w:tcPr>
          <w:p w:rsidR="00FF1CA3" w:rsidRDefault="00FF1CA3" w:rsidP="008C3ED1">
            <w:r>
              <w:t>20mg, 40mg capsules</w:t>
            </w:r>
          </w:p>
        </w:tc>
        <w:tc>
          <w:tcPr>
            <w:tcW w:w="1350" w:type="dxa"/>
          </w:tcPr>
          <w:p w:rsidR="00FF1CA3" w:rsidRDefault="00FF1CA3" w:rsidP="008C3ED1">
            <w:r>
              <w:t>NEXIUM</w:t>
            </w:r>
          </w:p>
        </w:tc>
        <w:tc>
          <w:tcPr>
            <w:tcW w:w="2160" w:type="dxa"/>
          </w:tcPr>
          <w:p w:rsidR="00FF1CA3" w:rsidRDefault="00FF1CA3" w:rsidP="008C3ED1">
            <w:r>
              <w:t>Now available</w:t>
            </w:r>
          </w:p>
        </w:tc>
      </w:tr>
      <w:tr w:rsidR="00FF1CA3" w:rsidTr="00FF1CA3">
        <w:tc>
          <w:tcPr>
            <w:tcW w:w="1458" w:type="dxa"/>
          </w:tcPr>
          <w:p w:rsidR="00FF1CA3" w:rsidRDefault="00FF1CA3" w:rsidP="008C3ED1">
            <w:r>
              <w:t>fluorouracil</w:t>
            </w:r>
          </w:p>
        </w:tc>
        <w:tc>
          <w:tcPr>
            <w:tcW w:w="1440" w:type="dxa"/>
          </w:tcPr>
          <w:p w:rsidR="00FF1CA3" w:rsidRDefault="00FF1CA3" w:rsidP="008C3ED1">
            <w:r>
              <w:t>Spear</w:t>
            </w:r>
          </w:p>
        </w:tc>
        <w:tc>
          <w:tcPr>
            <w:tcW w:w="1745" w:type="dxa"/>
          </w:tcPr>
          <w:p w:rsidR="00FF1CA3" w:rsidRDefault="00FF1CA3" w:rsidP="008C3ED1">
            <w:r>
              <w:t>Dermatological</w:t>
            </w:r>
          </w:p>
        </w:tc>
        <w:tc>
          <w:tcPr>
            <w:tcW w:w="2935" w:type="dxa"/>
          </w:tcPr>
          <w:p w:rsidR="00FF1CA3" w:rsidRDefault="00FF1CA3" w:rsidP="008C3ED1">
            <w:r>
              <w:t>0.5% Cream</w:t>
            </w:r>
          </w:p>
        </w:tc>
        <w:tc>
          <w:tcPr>
            <w:tcW w:w="1350" w:type="dxa"/>
          </w:tcPr>
          <w:p w:rsidR="00FF1CA3" w:rsidRDefault="00FF1CA3" w:rsidP="008C3ED1">
            <w:r>
              <w:t>CARAC</w:t>
            </w:r>
          </w:p>
        </w:tc>
        <w:tc>
          <w:tcPr>
            <w:tcW w:w="2160" w:type="dxa"/>
          </w:tcPr>
          <w:p w:rsidR="00FF1CA3" w:rsidRDefault="00FF1CA3" w:rsidP="008C3ED1">
            <w:r>
              <w:t>Now available</w:t>
            </w:r>
          </w:p>
        </w:tc>
      </w:tr>
      <w:tr w:rsidR="00FF1CA3" w:rsidTr="00FF1CA3">
        <w:tc>
          <w:tcPr>
            <w:tcW w:w="1458" w:type="dxa"/>
          </w:tcPr>
          <w:p w:rsidR="00FF1CA3" w:rsidRDefault="00FF1CA3">
            <w:proofErr w:type="spellStart"/>
            <w:r>
              <w:t>glatiramer</w:t>
            </w:r>
            <w:proofErr w:type="spellEnd"/>
            <w:r>
              <w:t xml:space="preserve"> acetate</w:t>
            </w:r>
          </w:p>
        </w:tc>
        <w:tc>
          <w:tcPr>
            <w:tcW w:w="1440" w:type="dxa"/>
          </w:tcPr>
          <w:p w:rsidR="00FF1CA3" w:rsidRDefault="00FF1CA3">
            <w:r>
              <w:t>Sandoz / Momenta</w:t>
            </w:r>
          </w:p>
        </w:tc>
        <w:tc>
          <w:tcPr>
            <w:tcW w:w="1745" w:type="dxa"/>
          </w:tcPr>
          <w:p w:rsidR="00FF1CA3" w:rsidRDefault="00FF1CA3">
            <w:r>
              <w:t>Multiple Sclerosis Agent</w:t>
            </w:r>
          </w:p>
        </w:tc>
        <w:tc>
          <w:tcPr>
            <w:tcW w:w="2935" w:type="dxa"/>
          </w:tcPr>
          <w:p w:rsidR="00FF1CA3" w:rsidRDefault="00FF1CA3">
            <w:r>
              <w:t>20mg/ml single-dosed syringe</w:t>
            </w:r>
          </w:p>
        </w:tc>
        <w:tc>
          <w:tcPr>
            <w:tcW w:w="1350" w:type="dxa"/>
          </w:tcPr>
          <w:p w:rsidR="00FF1CA3" w:rsidRDefault="00FF1CA3">
            <w:r>
              <w:t>COPAXONE</w:t>
            </w:r>
          </w:p>
        </w:tc>
        <w:tc>
          <w:tcPr>
            <w:tcW w:w="2160" w:type="dxa"/>
          </w:tcPr>
          <w:p w:rsidR="00FF1CA3" w:rsidRDefault="00FF1CA3">
            <w:r>
              <w:t>Product Name – GLATOPA. No confirmed launch date.</w:t>
            </w:r>
          </w:p>
        </w:tc>
      </w:tr>
      <w:tr w:rsidR="00FF1CA3" w:rsidTr="00FF1CA3">
        <w:tc>
          <w:tcPr>
            <w:tcW w:w="1458" w:type="dxa"/>
          </w:tcPr>
          <w:p w:rsidR="00FF1CA3" w:rsidRDefault="00FF1CA3">
            <w:proofErr w:type="spellStart"/>
            <w:r>
              <w:t>tenofovir</w:t>
            </w:r>
            <w:proofErr w:type="spellEnd"/>
            <w:r>
              <w:t xml:space="preserve"> </w:t>
            </w:r>
            <w:proofErr w:type="spellStart"/>
            <w:r>
              <w:t>disoproxil</w:t>
            </w:r>
            <w:proofErr w:type="spellEnd"/>
            <w:r>
              <w:t xml:space="preserve"> </w:t>
            </w:r>
            <w:proofErr w:type="spellStart"/>
            <w:r>
              <w:t>fumarate</w:t>
            </w:r>
            <w:proofErr w:type="spellEnd"/>
          </w:p>
        </w:tc>
        <w:tc>
          <w:tcPr>
            <w:tcW w:w="1440" w:type="dxa"/>
          </w:tcPr>
          <w:p w:rsidR="00FF1CA3" w:rsidRDefault="00FF1CA3">
            <w:proofErr w:type="spellStart"/>
            <w:r>
              <w:t>Teva</w:t>
            </w:r>
            <w:proofErr w:type="spellEnd"/>
          </w:p>
        </w:tc>
        <w:tc>
          <w:tcPr>
            <w:tcW w:w="1745" w:type="dxa"/>
          </w:tcPr>
          <w:p w:rsidR="00FF1CA3" w:rsidRDefault="00FF1CA3">
            <w:r>
              <w:t>Antiretroviral</w:t>
            </w:r>
          </w:p>
        </w:tc>
        <w:tc>
          <w:tcPr>
            <w:tcW w:w="2935" w:type="dxa"/>
          </w:tcPr>
          <w:p w:rsidR="00FF1CA3" w:rsidRDefault="00FF1CA3">
            <w:r>
              <w:t>300 mg tablets</w:t>
            </w:r>
          </w:p>
        </w:tc>
        <w:tc>
          <w:tcPr>
            <w:tcW w:w="1350" w:type="dxa"/>
          </w:tcPr>
          <w:p w:rsidR="00FF1CA3" w:rsidRDefault="00FF1CA3">
            <w:r>
              <w:t>VIREAD</w:t>
            </w:r>
          </w:p>
        </w:tc>
        <w:tc>
          <w:tcPr>
            <w:tcW w:w="2160" w:type="dxa"/>
          </w:tcPr>
          <w:p w:rsidR="00FF1CA3" w:rsidRDefault="00FF1CA3">
            <w:r>
              <w:t>Available soon</w:t>
            </w:r>
          </w:p>
        </w:tc>
      </w:tr>
    </w:tbl>
    <w:tbl>
      <w:tblPr>
        <w:tblStyle w:val="TableGrid"/>
        <w:tblpPr w:leftFromText="180" w:rightFromText="180" w:vertAnchor="page" w:horzAnchor="margin" w:tblpY="7321"/>
        <w:tblW w:w="11088" w:type="dxa"/>
        <w:tblLayout w:type="fixed"/>
        <w:tblLook w:val="04A0" w:firstRow="1" w:lastRow="0" w:firstColumn="1" w:lastColumn="0" w:noHBand="0" w:noVBand="1"/>
      </w:tblPr>
      <w:tblGrid>
        <w:gridCol w:w="1458"/>
        <w:gridCol w:w="1170"/>
        <w:gridCol w:w="1260"/>
        <w:gridCol w:w="3150"/>
        <w:gridCol w:w="2880"/>
        <w:gridCol w:w="1170"/>
      </w:tblGrid>
      <w:tr w:rsidR="00FF1CA3" w:rsidTr="002F5E94">
        <w:tc>
          <w:tcPr>
            <w:tcW w:w="11088" w:type="dxa"/>
            <w:gridSpan w:val="6"/>
          </w:tcPr>
          <w:p w:rsidR="00FF1CA3" w:rsidRPr="00FF1CA3" w:rsidRDefault="00BC1863" w:rsidP="00FF1CA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2015 </w:t>
            </w:r>
            <w:r w:rsidR="00FF1CA3" w:rsidRPr="00BC2DC0">
              <w:rPr>
                <w:b/>
                <w:i/>
                <w:sz w:val="28"/>
                <w:szCs w:val="28"/>
              </w:rPr>
              <w:t>New Drugs</w:t>
            </w:r>
          </w:p>
        </w:tc>
      </w:tr>
      <w:tr w:rsidR="00140A26" w:rsidTr="00140A26">
        <w:tc>
          <w:tcPr>
            <w:tcW w:w="1458" w:type="dxa"/>
          </w:tcPr>
          <w:p w:rsidR="00140A26" w:rsidRPr="00BC2DC0" w:rsidRDefault="00140A26" w:rsidP="00140A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Trade Name</w:t>
            </w:r>
            <w:r w:rsidRPr="00BC2DC0">
              <w:rPr>
                <w:b/>
                <w:i/>
              </w:rPr>
              <w:t xml:space="preserve"> (generic name)</w:t>
            </w:r>
          </w:p>
        </w:tc>
        <w:tc>
          <w:tcPr>
            <w:tcW w:w="1170" w:type="dxa"/>
          </w:tcPr>
          <w:p w:rsidR="00140A26" w:rsidRPr="00BC2DC0" w:rsidRDefault="00140A26" w:rsidP="00140A26">
            <w:pPr>
              <w:jc w:val="center"/>
              <w:rPr>
                <w:b/>
                <w:i/>
              </w:rPr>
            </w:pPr>
            <w:r w:rsidRPr="00BC2DC0">
              <w:rPr>
                <w:b/>
                <w:i/>
              </w:rPr>
              <w:t>Therapeutic Category</w:t>
            </w:r>
          </w:p>
        </w:tc>
        <w:tc>
          <w:tcPr>
            <w:tcW w:w="1260" w:type="dxa"/>
          </w:tcPr>
          <w:p w:rsidR="00140A26" w:rsidRPr="00BC2DC0" w:rsidRDefault="00140A26" w:rsidP="00140A26">
            <w:pPr>
              <w:jc w:val="center"/>
              <w:rPr>
                <w:b/>
                <w:i/>
              </w:rPr>
            </w:pPr>
            <w:r w:rsidRPr="00BC2DC0">
              <w:rPr>
                <w:b/>
                <w:i/>
              </w:rPr>
              <w:t>Strength</w:t>
            </w:r>
            <w:r>
              <w:rPr>
                <w:b/>
                <w:i/>
              </w:rPr>
              <w:t xml:space="preserve">(s) &amp; </w:t>
            </w:r>
            <w:r w:rsidRPr="00BC2DC0">
              <w:rPr>
                <w:b/>
                <w:i/>
              </w:rPr>
              <w:t>Dosage Form</w:t>
            </w:r>
            <w:r>
              <w:rPr>
                <w:b/>
                <w:i/>
              </w:rPr>
              <w:t>(s)</w:t>
            </w:r>
          </w:p>
        </w:tc>
        <w:tc>
          <w:tcPr>
            <w:tcW w:w="3150" w:type="dxa"/>
          </w:tcPr>
          <w:p w:rsidR="00140A26" w:rsidRPr="00BC2DC0" w:rsidRDefault="00140A26" w:rsidP="00140A26">
            <w:pPr>
              <w:jc w:val="center"/>
              <w:rPr>
                <w:b/>
                <w:i/>
              </w:rPr>
            </w:pPr>
            <w:r w:rsidRPr="00BC2DC0">
              <w:rPr>
                <w:b/>
                <w:i/>
              </w:rPr>
              <w:t>Indication</w:t>
            </w:r>
          </w:p>
        </w:tc>
        <w:tc>
          <w:tcPr>
            <w:tcW w:w="2880" w:type="dxa"/>
          </w:tcPr>
          <w:p w:rsidR="00140A26" w:rsidRPr="00BC2DC0" w:rsidRDefault="00140A26" w:rsidP="00140A26">
            <w:pPr>
              <w:jc w:val="center"/>
              <w:rPr>
                <w:b/>
                <w:i/>
              </w:rPr>
            </w:pPr>
            <w:r w:rsidRPr="00BC2DC0">
              <w:rPr>
                <w:b/>
                <w:i/>
              </w:rPr>
              <w:t>Dosing</w:t>
            </w:r>
          </w:p>
        </w:tc>
        <w:tc>
          <w:tcPr>
            <w:tcW w:w="1170" w:type="dxa"/>
          </w:tcPr>
          <w:p w:rsidR="00140A26" w:rsidRPr="00BC2DC0" w:rsidRDefault="00140A26" w:rsidP="00140A26">
            <w:pPr>
              <w:jc w:val="center"/>
              <w:rPr>
                <w:b/>
                <w:i/>
              </w:rPr>
            </w:pPr>
            <w:r w:rsidRPr="00BC2DC0">
              <w:rPr>
                <w:b/>
                <w:i/>
              </w:rPr>
              <w:t>Similar Products</w:t>
            </w:r>
          </w:p>
          <w:p w:rsidR="00140A26" w:rsidRPr="00BC2DC0" w:rsidRDefault="00140A26" w:rsidP="00140A26">
            <w:pPr>
              <w:jc w:val="center"/>
              <w:rPr>
                <w:b/>
                <w:i/>
              </w:rPr>
            </w:pPr>
          </w:p>
        </w:tc>
      </w:tr>
      <w:tr w:rsidR="00140A26" w:rsidTr="00140A26">
        <w:tc>
          <w:tcPr>
            <w:tcW w:w="1458" w:type="dxa"/>
          </w:tcPr>
          <w:p w:rsidR="00140A26" w:rsidRPr="00BC2DC0" w:rsidRDefault="00140A26" w:rsidP="00140A26">
            <w:pPr>
              <w:jc w:val="center"/>
            </w:pPr>
            <w:proofErr w:type="spellStart"/>
            <w:r>
              <w:t>Corlanor</w:t>
            </w:r>
            <w:proofErr w:type="spellEnd"/>
            <w:r>
              <w:t xml:space="preserve"> (</w:t>
            </w:r>
            <w:proofErr w:type="spellStart"/>
            <w:r>
              <w:t>ivabradine</w:t>
            </w:r>
            <w:proofErr w:type="spellEnd"/>
            <w:r>
              <w:t>) Amgen</w:t>
            </w:r>
          </w:p>
        </w:tc>
        <w:tc>
          <w:tcPr>
            <w:tcW w:w="1170" w:type="dxa"/>
          </w:tcPr>
          <w:p w:rsidR="00140A26" w:rsidRPr="00BC2DC0" w:rsidRDefault="00140A26" w:rsidP="00140A26">
            <w:pPr>
              <w:jc w:val="center"/>
            </w:pPr>
            <w:r>
              <w:t>Cardiovascular Agent</w:t>
            </w:r>
          </w:p>
        </w:tc>
        <w:tc>
          <w:tcPr>
            <w:tcW w:w="1260" w:type="dxa"/>
          </w:tcPr>
          <w:p w:rsidR="00140A26" w:rsidRPr="00BC2DC0" w:rsidRDefault="00140A26" w:rsidP="00140A26">
            <w:pPr>
              <w:jc w:val="center"/>
            </w:pPr>
            <w:r>
              <w:t>5 mg * 7.5 mg tablets</w:t>
            </w:r>
          </w:p>
        </w:tc>
        <w:tc>
          <w:tcPr>
            <w:tcW w:w="3150" w:type="dxa"/>
          </w:tcPr>
          <w:p w:rsidR="00140A26" w:rsidRPr="00BC2DC0" w:rsidRDefault="00140A26" w:rsidP="00140A26">
            <w:r>
              <w:t xml:space="preserve">To reduce risk of hospitalization for worsening heart failure in pts with stable , symptomatic chronic heart failure with left ventricular ejection </w:t>
            </w:r>
            <w:r>
              <w:rPr>
                <w:u w:val="single"/>
              </w:rPr>
              <w:t>&lt;</w:t>
            </w:r>
            <w:r>
              <w:t xml:space="preserve"> 35% who are in sinus rhythm with resting hear rate </w:t>
            </w:r>
            <w:r>
              <w:rPr>
                <w:u w:val="single"/>
              </w:rPr>
              <w:t>&gt;</w:t>
            </w:r>
            <w:r>
              <w:t xml:space="preserve"> 70 beats per minute &amp; either on max tolerated doses of beta blockers or have contraindication</w:t>
            </w:r>
          </w:p>
        </w:tc>
        <w:tc>
          <w:tcPr>
            <w:tcW w:w="2880" w:type="dxa"/>
          </w:tcPr>
          <w:p w:rsidR="00140A26" w:rsidRPr="00BC2DC0" w:rsidRDefault="00140A26" w:rsidP="00140A26">
            <w:r>
              <w:t xml:space="preserve">Starting dose 5 mg twice daily. After 2 weeks of </w:t>
            </w:r>
            <w:proofErr w:type="spellStart"/>
            <w:r>
              <w:t>tx</w:t>
            </w:r>
            <w:proofErr w:type="spellEnd"/>
            <w:r>
              <w:t>, adjust based on heart rate. Max dose = 7.5 mg twice daily. In pts with conduction defects or in whom bradycardia could lead to hemodynamic compromise, initiate dosing at 2.5 mg twice daily.</w:t>
            </w:r>
          </w:p>
        </w:tc>
        <w:tc>
          <w:tcPr>
            <w:tcW w:w="1170" w:type="dxa"/>
          </w:tcPr>
          <w:p w:rsidR="00140A26" w:rsidRPr="00BC2DC0" w:rsidRDefault="00140A26" w:rsidP="00140A26">
            <w:pPr>
              <w:jc w:val="center"/>
            </w:pPr>
            <w:r>
              <w:t>None</w:t>
            </w:r>
          </w:p>
        </w:tc>
      </w:tr>
      <w:tr w:rsidR="00140A26" w:rsidTr="00140A26">
        <w:tc>
          <w:tcPr>
            <w:tcW w:w="1458" w:type="dxa"/>
          </w:tcPr>
          <w:p w:rsidR="00140A26" w:rsidRDefault="00140A26" w:rsidP="00140A26">
            <w:proofErr w:type="spellStart"/>
            <w:r>
              <w:t>Cresemba</w:t>
            </w:r>
            <w:proofErr w:type="spellEnd"/>
            <w:r>
              <w:t xml:space="preserve"> (</w:t>
            </w:r>
            <w:proofErr w:type="spellStart"/>
            <w:r>
              <w:t>isavuconazonium</w:t>
            </w:r>
            <w:proofErr w:type="spellEnd"/>
            <w:r>
              <w:t xml:space="preserve"> sulfate) </w:t>
            </w:r>
            <w:proofErr w:type="spellStart"/>
            <w:r>
              <w:t>Astellas</w:t>
            </w:r>
            <w:proofErr w:type="spellEnd"/>
          </w:p>
        </w:tc>
        <w:tc>
          <w:tcPr>
            <w:tcW w:w="1170" w:type="dxa"/>
          </w:tcPr>
          <w:p w:rsidR="00140A26" w:rsidRDefault="00140A26" w:rsidP="00140A26">
            <w:r>
              <w:t>Antifungal</w:t>
            </w:r>
          </w:p>
        </w:tc>
        <w:tc>
          <w:tcPr>
            <w:tcW w:w="1260" w:type="dxa"/>
          </w:tcPr>
          <w:p w:rsidR="00140A26" w:rsidRDefault="00140A26" w:rsidP="00140A26">
            <w:r>
              <w:t>100mg capsules (186mg sulfate) &amp; 200 mg single-dose vials (372 mg sulfate)</w:t>
            </w:r>
          </w:p>
        </w:tc>
        <w:tc>
          <w:tcPr>
            <w:tcW w:w="3150" w:type="dxa"/>
          </w:tcPr>
          <w:p w:rsidR="00140A26" w:rsidRDefault="00140A26" w:rsidP="00140A26">
            <w:r>
              <w:t xml:space="preserve">Treatment of invasive </w:t>
            </w:r>
            <w:proofErr w:type="spellStart"/>
            <w:r>
              <w:t>aspergillosis</w:t>
            </w:r>
            <w:proofErr w:type="spellEnd"/>
            <w:r>
              <w:t xml:space="preserve"> &amp; invasive </w:t>
            </w:r>
            <w:proofErr w:type="spellStart"/>
            <w:r>
              <w:t>mucomycosis</w:t>
            </w:r>
            <w:proofErr w:type="spellEnd"/>
            <w:r>
              <w:t xml:space="preserve"> in pts 18 years and older</w:t>
            </w:r>
          </w:p>
        </w:tc>
        <w:tc>
          <w:tcPr>
            <w:tcW w:w="2880" w:type="dxa"/>
          </w:tcPr>
          <w:p w:rsidR="00140A26" w:rsidRDefault="00140A26" w:rsidP="00140A26">
            <w:r>
              <w:t xml:space="preserve">Loading dose: 372 mg </w:t>
            </w:r>
            <w:proofErr w:type="spellStart"/>
            <w:r>
              <w:t>isavuconazonium</w:t>
            </w:r>
            <w:proofErr w:type="spellEnd"/>
            <w:r>
              <w:t xml:space="preserve"> sulfate (200 mg) every 8 hours x 6 doses.  Maintenance dose: 372 mg sulfate (200mg) daily starting 12 to 24 hours after last loading dose.</w:t>
            </w:r>
          </w:p>
        </w:tc>
        <w:tc>
          <w:tcPr>
            <w:tcW w:w="1170" w:type="dxa"/>
          </w:tcPr>
          <w:p w:rsidR="00140A26" w:rsidRDefault="00140A26" w:rsidP="00140A26">
            <w:proofErr w:type="spellStart"/>
            <w:r>
              <w:t>Itraconazole</w:t>
            </w:r>
            <w:proofErr w:type="spellEnd"/>
            <w:r>
              <w:t xml:space="preserve">, NOXAFIL, </w:t>
            </w:r>
            <w:proofErr w:type="spellStart"/>
            <w:r>
              <w:t>voriconazole</w:t>
            </w:r>
            <w:proofErr w:type="spellEnd"/>
            <w:r>
              <w:t>.</w:t>
            </w:r>
          </w:p>
        </w:tc>
      </w:tr>
      <w:tr w:rsidR="007A196B" w:rsidTr="003755CD">
        <w:tc>
          <w:tcPr>
            <w:tcW w:w="11088" w:type="dxa"/>
            <w:gridSpan w:val="6"/>
          </w:tcPr>
          <w:p w:rsidR="00896510" w:rsidRDefault="00896510" w:rsidP="00140A26">
            <w:pPr>
              <w:rPr>
                <w:b/>
                <w:i/>
                <w:sz w:val="28"/>
                <w:szCs w:val="28"/>
              </w:rPr>
            </w:pPr>
          </w:p>
          <w:p w:rsidR="00896510" w:rsidRDefault="00896510" w:rsidP="00140A26">
            <w:pPr>
              <w:rPr>
                <w:b/>
                <w:i/>
                <w:sz w:val="28"/>
                <w:szCs w:val="28"/>
              </w:rPr>
            </w:pPr>
          </w:p>
          <w:p w:rsidR="007A196B" w:rsidRPr="007A196B" w:rsidRDefault="00BC1863" w:rsidP="00140A2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Late </w:t>
            </w:r>
            <w:r w:rsidR="007A196B" w:rsidRPr="007A196B">
              <w:rPr>
                <w:b/>
                <w:i/>
                <w:sz w:val="28"/>
                <w:szCs w:val="28"/>
              </w:rPr>
              <w:t>2014 New Drugs</w:t>
            </w:r>
          </w:p>
        </w:tc>
      </w:tr>
      <w:tr w:rsidR="00140A26" w:rsidRPr="007A196B" w:rsidTr="00896510">
        <w:trPr>
          <w:trHeight w:val="1310"/>
        </w:trPr>
        <w:tc>
          <w:tcPr>
            <w:tcW w:w="1458" w:type="dxa"/>
          </w:tcPr>
          <w:p w:rsidR="00140A26" w:rsidRPr="009B2FA8" w:rsidRDefault="007A196B" w:rsidP="00140A26">
            <w:proofErr w:type="spellStart"/>
            <w:r w:rsidRPr="009B2FA8">
              <w:t>Efinaconazole</w:t>
            </w:r>
            <w:proofErr w:type="spellEnd"/>
            <w:r w:rsidRPr="009B2FA8">
              <w:t xml:space="preserve"> (</w:t>
            </w:r>
            <w:proofErr w:type="spellStart"/>
            <w:r w:rsidRPr="009B2FA8">
              <w:t>Jublia</w:t>
            </w:r>
            <w:proofErr w:type="spellEnd"/>
            <w:r w:rsidRPr="009B2FA8">
              <w:t>) Valeant</w:t>
            </w:r>
          </w:p>
        </w:tc>
        <w:tc>
          <w:tcPr>
            <w:tcW w:w="1170" w:type="dxa"/>
          </w:tcPr>
          <w:p w:rsidR="00140A26" w:rsidRPr="009B2FA8" w:rsidRDefault="007A196B" w:rsidP="00140A26">
            <w:r w:rsidRPr="009B2FA8">
              <w:t xml:space="preserve">Antifungal </w:t>
            </w:r>
          </w:p>
        </w:tc>
        <w:tc>
          <w:tcPr>
            <w:tcW w:w="1260" w:type="dxa"/>
          </w:tcPr>
          <w:p w:rsidR="00140A26" w:rsidRPr="009B2FA8" w:rsidRDefault="007A196B" w:rsidP="00140A26">
            <w:r w:rsidRPr="009B2FA8">
              <w:t>4- and 8-mL white plastic bottles</w:t>
            </w:r>
          </w:p>
        </w:tc>
        <w:tc>
          <w:tcPr>
            <w:tcW w:w="3150" w:type="dxa"/>
          </w:tcPr>
          <w:p w:rsidR="00140A26" w:rsidRPr="009B2FA8" w:rsidRDefault="007A196B" w:rsidP="00140A26">
            <w:r w:rsidRPr="009B2FA8">
              <w:t xml:space="preserve">Topical treatment of onychomycosis of the toenail(s) due to </w:t>
            </w:r>
            <w:proofErr w:type="spellStart"/>
            <w:r w:rsidRPr="009B2FA8">
              <w:rPr>
                <w:rStyle w:val="Emphasis"/>
              </w:rPr>
              <w:t>Trichophyton</w:t>
            </w:r>
            <w:proofErr w:type="spellEnd"/>
            <w:r w:rsidRPr="009B2FA8">
              <w:rPr>
                <w:rStyle w:val="Emphasis"/>
              </w:rPr>
              <w:t xml:space="preserve"> </w:t>
            </w:r>
            <w:proofErr w:type="spellStart"/>
            <w:r w:rsidRPr="009B2FA8">
              <w:rPr>
                <w:rStyle w:val="Emphasis"/>
              </w:rPr>
              <w:t>rubrum</w:t>
            </w:r>
            <w:proofErr w:type="spellEnd"/>
            <w:r w:rsidRPr="009B2FA8">
              <w:rPr>
                <w:rStyle w:val="Emphasis"/>
              </w:rPr>
              <w:t xml:space="preserve"> </w:t>
            </w:r>
            <w:r w:rsidRPr="009B2FA8">
              <w:t>and</w:t>
            </w:r>
            <w:r w:rsidRPr="009B2FA8">
              <w:rPr>
                <w:rStyle w:val="Emphasis"/>
              </w:rPr>
              <w:t xml:space="preserve"> </w:t>
            </w:r>
            <w:proofErr w:type="spellStart"/>
            <w:r w:rsidRPr="009B2FA8">
              <w:rPr>
                <w:rStyle w:val="Emphasis"/>
              </w:rPr>
              <w:t>Trichophyton</w:t>
            </w:r>
            <w:proofErr w:type="spellEnd"/>
            <w:r w:rsidRPr="009B2FA8">
              <w:rPr>
                <w:rStyle w:val="Emphasis"/>
              </w:rPr>
              <w:t xml:space="preserve"> </w:t>
            </w:r>
            <w:proofErr w:type="spellStart"/>
            <w:r w:rsidRPr="009B2FA8">
              <w:rPr>
                <w:rStyle w:val="Emphasis"/>
              </w:rPr>
              <w:t>mentagrophytes</w:t>
            </w:r>
            <w:proofErr w:type="spellEnd"/>
          </w:p>
        </w:tc>
        <w:tc>
          <w:tcPr>
            <w:tcW w:w="2880" w:type="dxa"/>
          </w:tcPr>
          <w:p w:rsidR="00140A26" w:rsidRPr="009B2FA8" w:rsidRDefault="007A196B" w:rsidP="00140A26">
            <w:r w:rsidRPr="009B2FA8">
              <w:t>Apply the solution once daily to clean, dry toenails at least 10 minutes after showering, bathing, or washing</w:t>
            </w:r>
          </w:p>
        </w:tc>
        <w:tc>
          <w:tcPr>
            <w:tcW w:w="1170" w:type="dxa"/>
          </w:tcPr>
          <w:p w:rsidR="00140A26" w:rsidRPr="007A196B" w:rsidRDefault="00BC1863" w:rsidP="00140A26">
            <w:r>
              <w:t>None</w:t>
            </w:r>
          </w:p>
        </w:tc>
      </w:tr>
      <w:tr w:rsidR="00896510" w:rsidRPr="007A196B" w:rsidTr="00C55B6B">
        <w:tc>
          <w:tcPr>
            <w:tcW w:w="11088" w:type="dxa"/>
            <w:gridSpan w:val="6"/>
          </w:tcPr>
          <w:p w:rsidR="00896510" w:rsidRDefault="00896510" w:rsidP="00140A26">
            <w:r>
              <w:rPr>
                <w:b/>
                <w:i/>
                <w:sz w:val="28"/>
                <w:szCs w:val="28"/>
              </w:rPr>
              <w:lastRenderedPageBreak/>
              <w:t xml:space="preserve">Late </w:t>
            </w:r>
            <w:r w:rsidRPr="007A196B">
              <w:rPr>
                <w:b/>
                <w:i/>
                <w:sz w:val="28"/>
                <w:szCs w:val="28"/>
              </w:rPr>
              <w:t>2014 New Drugs</w:t>
            </w:r>
            <w:r>
              <w:rPr>
                <w:b/>
                <w:i/>
                <w:sz w:val="28"/>
                <w:szCs w:val="28"/>
              </w:rPr>
              <w:t>- continued</w:t>
            </w:r>
            <w:bookmarkStart w:id="0" w:name="_GoBack"/>
            <w:bookmarkEnd w:id="0"/>
          </w:p>
        </w:tc>
      </w:tr>
      <w:tr w:rsidR="007A196B" w:rsidRPr="007A196B" w:rsidTr="00140A26">
        <w:tc>
          <w:tcPr>
            <w:tcW w:w="1458" w:type="dxa"/>
          </w:tcPr>
          <w:p w:rsidR="007A196B" w:rsidRPr="009B2FA8" w:rsidRDefault="007A196B" w:rsidP="00140A26">
            <w:proofErr w:type="spellStart"/>
            <w:r w:rsidRPr="009B2FA8">
              <w:t>Ledipasvir</w:t>
            </w:r>
            <w:proofErr w:type="spellEnd"/>
            <w:r w:rsidRPr="009B2FA8">
              <w:t>/</w:t>
            </w:r>
            <w:proofErr w:type="spellStart"/>
            <w:r w:rsidRPr="009B2FA8">
              <w:t>Sofosbuvir</w:t>
            </w:r>
            <w:proofErr w:type="spellEnd"/>
          </w:p>
          <w:p w:rsidR="007A196B" w:rsidRPr="009B2FA8" w:rsidRDefault="007A196B" w:rsidP="00140A26">
            <w:r w:rsidRPr="009B2FA8">
              <w:t>(</w:t>
            </w:r>
            <w:proofErr w:type="spellStart"/>
            <w:r w:rsidRPr="009B2FA8">
              <w:t>Harvoni</w:t>
            </w:r>
            <w:proofErr w:type="spellEnd"/>
            <w:r w:rsidRPr="009B2FA8">
              <w:t>)</w:t>
            </w:r>
          </w:p>
          <w:p w:rsidR="007A196B" w:rsidRPr="009B2FA8" w:rsidRDefault="007A196B" w:rsidP="00140A26">
            <w:r w:rsidRPr="009B2FA8">
              <w:t>Gilead</w:t>
            </w:r>
            <w:r w:rsidRPr="009B2FA8">
              <w:br/>
            </w:r>
          </w:p>
        </w:tc>
        <w:tc>
          <w:tcPr>
            <w:tcW w:w="1170" w:type="dxa"/>
          </w:tcPr>
          <w:p w:rsidR="007A196B" w:rsidRPr="009B2FA8" w:rsidRDefault="007A196B" w:rsidP="00140A26">
            <w:r w:rsidRPr="009B2FA8">
              <w:t>Antiviral</w:t>
            </w:r>
          </w:p>
        </w:tc>
        <w:tc>
          <w:tcPr>
            <w:tcW w:w="1260" w:type="dxa"/>
          </w:tcPr>
          <w:p w:rsidR="007A196B" w:rsidRPr="009B2FA8" w:rsidRDefault="007A196B" w:rsidP="00140A26">
            <w:r w:rsidRPr="009B2FA8">
              <w:t xml:space="preserve">90 mg of </w:t>
            </w:r>
            <w:proofErr w:type="spellStart"/>
            <w:r w:rsidRPr="009B2FA8">
              <w:t>ledipasvir</w:t>
            </w:r>
            <w:proofErr w:type="spellEnd"/>
            <w:r w:rsidRPr="009B2FA8">
              <w:t xml:space="preserve"> and 400 mg of </w:t>
            </w:r>
            <w:proofErr w:type="spellStart"/>
            <w:r w:rsidRPr="009B2FA8">
              <w:t>sofosbuvir</w:t>
            </w:r>
            <w:proofErr w:type="spellEnd"/>
            <w:r w:rsidRPr="009B2FA8">
              <w:t xml:space="preserve"> in a single tablet</w:t>
            </w:r>
          </w:p>
        </w:tc>
        <w:tc>
          <w:tcPr>
            <w:tcW w:w="3150" w:type="dxa"/>
          </w:tcPr>
          <w:p w:rsidR="007A196B" w:rsidRPr="009B2FA8" w:rsidRDefault="009B2FA8" w:rsidP="00140A26">
            <w:r w:rsidRPr="009B2FA8">
              <w:t>T</w:t>
            </w:r>
            <w:r w:rsidR="007A196B" w:rsidRPr="009B2FA8">
              <w:t>reatment of chronic HCV genotype 1 infection in adults</w:t>
            </w:r>
          </w:p>
        </w:tc>
        <w:tc>
          <w:tcPr>
            <w:tcW w:w="2880" w:type="dxa"/>
          </w:tcPr>
          <w:p w:rsidR="007A196B" w:rsidRPr="009B2FA8" w:rsidRDefault="007A196B" w:rsidP="00140A26">
            <w:r w:rsidRPr="009B2FA8">
              <w:t>1 tablet taken orally once daily on a regular schedule with or without food.</w:t>
            </w:r>
          </w:p>
        </w:tc>
        <w:tc>
          <w:tcPr>
            <w:tcW w:w="1170" w:type="dxa"/>
          </w:tcPr>
          <w:p w:rsidR="007A196B" w:rsidRPr="007A196B" w:rsidRDefault="00BC1863" w:rsidP="00140A26">
            <w:r>
              <w:t>Numerous</w:t>
            </w:r>
          </w:p>
        </w:tc>
      </w:tr>
      <w:tr w:rsidR="009B2FA8" w:rsidRPr="007A196B" w:rsidTr="00140A26">
        <w:tc>
          <w:tcPr>
            <w:tcW w:w="1458" w:type="dxa"/>
          </w:tcPr>
          <w:p w:rsidR="009B2FA8" w:rsidRPr="009B2FA8" w:rsidRDefault="009B2FA8" w:rsidP="00140A26">
            <w:proofErr w:type="spellStart"/>
            <w:r w:rsidRPr="009B2FA8">
              <w:t>Naloxegol</w:t>
            </w:r>
            <w:proofErr w:type="spellEnd"/>
            <w:r w:rsidRPr="009B2FA8">
              <w:t xml:space="preserve"> (</w:t>
            </w:r>
            <w:proofErr w:type="spellStart"/>
            <w:r w:rsidRPr="009B2FA8">
              <w:t>Movantik</w:t>
            </w:r>
            <w:proofErr w:type="spellEnd"/>
            <w:r w:rsidRPr="009B2FA8">
              <w:t>) AstraZeneca</w:t>
            </w:r>
            <w:r w:rsidRPr="009B2FA8">
              <w:br/>
            </w:r>
          </w:p>
        </w:tc>
        <w:tc>
          <w:tcPr>
            <w:tcW w:w="1170" w:type="dxa"/>
          </w:tcPr>
          <w:p w:rsidR="009B2FA8" w:rsidRPr="009B2FA8" w:rsidRDefault="009B2FA8" w:rsidP="00140A26">
            <w:r w:rsidRPr="009B2FA8">
              <w:t>Gastrointestinal</w:t>
            </w:r>
          </w:p>
        </w:tc>
        <w:tc>
          <w:tcPr>
            <w:tcW w:w="1260" w:type="dxa"/>
          </w:tcPr>
          <w:p w:rsidR="009B2FA8" w:rsidRPr="009B2FA8" w:rsidRDefault="009B2FA8" w:rsidP="00140A26">
            <w:r w:rsidRPr="009B2FA8">
              <w:t>12.5- and 25-mg tablets</w:t>
            </w:r>
          </w:p>
        </w:tc>
        <w:tc>
          <w:tcPr>
            <w:tcW w:w="3150" w:type="dxa"/>
          </w:tcPr>
          <w:p w:rsidR="009B2FA8" w:rsidRPr="009B2FA8" w:rsidRDefault="009B2FA8" w:rsidP="00140A26">
            <w:proofErr w:type="spellStart"/>
            <w:r w:rsidRPr="009B2FA8">
              <w:t>PEGylated</w:t>
            </w:r>
            <w:proofErr w:type="spellEnd"/>
            <w:r w:rsidRPr="009B2FA8">
              <w:t xml:space="preserve"> derivative of naloxone and acts as an opioid antagonist. </w:t>
            </w:r>
            <w:proofErr w:type="spellStart"/>
            <w:r w:rsidRPr="009B2FA8">
              <w:t>Naloxegol</w:t>
            </w:r>
            <w:proofErr w:type="spellEnd"/>
            <w:r w:rsidRPr="009B2FA8">
              <w:t xml:space="preserve"> is indicated for the treatment of opioid-induced constipation in adult patients with chronic </w:t>
            </w:r>
            <w:proofErr w:type="spellStart"/>
            <w:r w:rsidRPr="009B2FA8">
              <w:t>noncancer</w:t>
            </w:r>
            <w:proofErr w:type="spellEnd"/>
            <w:r w:rsidRPr="009B2FA8">
              <w:t xml:space="preserve"> pain</w:t>
            </w:r>
          </w:p>
        </w:tc>
        <w:tc>
          <w:tcPr>
            <w:tcW w:w="2880" w:type="dxa"/>
          </w:tcPr>
          <w:p w:rsidR="009B2FA8" w:rsidRPr="009B2FA8" w:rsidRDefault="009B2FA8" w:rsidP="00140A26">
            <w:r w:rsidRPr="009B2FA8">
              <w:t xml:space="preserve">25 mg once daily in the morning. In patients who cannot tolerate 25 mg, the daily dose can be reduced to 12.5 mg. The starting dose for patients whose </w:t>
            </w:r>
            <w:proofErr w:type="spellStart"/>
            <w:r w:rsidRPr="009B2FA8">
              <w:t>CrCl</w:t>
            </w:r>
            <w:proofErr w:type="spellEnd"/>
            <w:r w:rsidRPr="009B2FA8">
              <w:t xml:space="preserve"> is less than 60 mL/min (</w:t>
            </w:r>
            <w:proofErr w:type="spellStart"/>
            <w:r w:rsidRPr="009B2FA8">
              <w:t>ie</w:t>
            </w:r>
            <w:proofErr w:type="spellEnd"/>
            <w:r w:rsidRPr="009B2FA8">
              <w:t>, patients with moderate, severe, or end-stage renal impairment) is 12.5 mg once daily</w:t>
            </w:r>
          </w:p>
        </w:tc>
        <w:tc>
          <w:tcPr>
            <w:tcW w:w="1170" w:type="dxa"/>
          </w:tcPr>
          <w:p w:rsidR="009B2FA8" w:rsidRPr="009B2FA8" w:rsidRDefault="00BC1863" w:rsidP="00140A26">
            <w:r>
              <w:t>None</w:t>
            </w:r>
          </w:p>
        </w:tc>
      </w:tr>
      <w:tr w:rsidR="009B2FA8" w:rsidRPr="007A196B" w:rsidTr="00140A26">
        <w:tc>
          <w:tcPr>
            <w:tcW w:w="1458" w:type="dxa"/>
          </w:tcPr>
          <w:p w:rsidR="009B2FA8" w:rsidRPr="001752A7" w:rsidRDefault="001752A7" w:rsidP="00140A26">
            <w:proofErr w:type="spellStart"/>
            <w:r w:rsidRPr="001752A7">
              <w:t>Netupitant</w:t>
            </w:r>
            <w:proofErr w:type="spellEnd"/>
            <w:r w:rsidRPr="001752A7">
              <w:t>/</w:t>
            </w:r>
            <w:proofErr w:type="spellStart"/>
            <w:r w:rsidRPr="001752A7">
              <w:t>palonosetron</w:t>
            </w:r>
            <w:proofErr w:type="spellEnd"/>
            <w:r w:rsidRPr="001752A7">
              <w:t xml:space="preserve"> (</w:t>
            </w:r>
            <w:proofErr w:type="spellStart"/>
            <w:r w:rsidRPr="001752A7">
              <w:t>Akynzeo</w:t>
            </w:r>
            <w:proofErr w:type="spellEnd"/>
            <w:r w:rsidRPr="001752A7">
              <w:t>) Eisai</w:t>
            </w:r>
          </w:p>
        </w:tc>
        <w:tc>
          <w:tcPr>
            <w:tcW w:w="1170" w:type="dxa"/>
          </w:tcPr>
          <w:p w:rsidR="009B2FA8" w:rsidRPr="001752A7" w:rsidRDefault="001752A7" w:rsidP="00140A26">
            <w:r w:rsidRPr="001752A7">
              <w:t>Gastrointestinal</w:t>
            </w:r>
          </w:p>
        </w:tc>
        <w:tc>
          <w:tcPr>
            <w:tcW w:w="1260" w:type="dxa"/>
          </w:tcPr>
          <w:p w:rsidR="001752A7" w:rsidRPr="001752A7" w:rsidRDefault="001752A7" w:rsidP="00140A26">
            <w:proofErr w:type="spellStart"/>
            <w:r w:rsidRPr="001752A7">
              <w:t>Netupitant</w:t>
            </w:r>
            <w:proofErr w:type="spellEnd"/>
            <w:r w:rsidRPr="001752A7">
              <w:t>/</w:t>
            </w:r>
            <w:proofErr w:type="spellStart"/>
            <w:r w:rsidRPr="001752A7">
              <w:t>palonosetron</w:t>
            </w:r>
            <w:proofErr w:type="spellEnd"/>
            <w:r w:rsidRPr="001752A7">
              <w:t xml:space="preserve"> capsules contain 300 mg </w:t>
            </w:r>
            <w:proofErr w:type="spellStart"/>
            <w:r w:rsidRPr="001752A7">
              <w:t>netupitant</w:t>
            </w:r>
            <w:proofErr w:type="spellEnd"/>
            <w:r w:rsidRPr="001752A7">
              <w:t xml:space="preserve"> and 0.5 mg </w:t>
            </w:r>
            <w:proofErr w:type="spellStart"/>
            <w:r w:rsidRPr="001752A7">
              <w:t>palonosetron</w:t>
            </w:r>
            <w:proofErr w:type="spellEnd"/>
            <w:r w:rsidRPr="001752A7">
              <w:t xml:space="preserve"> and are supplied in a blister containing 1 capsule</w:t>
            </w:r>
          </w:p>
        </w:tc>
        <w:tc>
          <w:tcPr>
            <w:tcW w:w="3150" w:type="dxa"/>
          </w:tcPr>
          <w:p w:rsidR="009B2FA8" w:rsidRPr="001752A7" w:rsidRDefault="001752A7" w:rsidP="001752A7">
            <w:r w:rsidRPr="001752A7">
              <w:t xml:space="preserve">Fixed combination of </w:t>
            </w:r>
            <w:proofErr w:type="spellStart"/>
            <w:r w:rsidRPr="001752A7">
              <w:t>netupitant</w:t>
            </w:r>
            <w:proofErr w:type="spellEnd"/>
            <w:r w:rsidRPr="001752A7">
              <w:t>, a substance P/neurokinin 1 (NK</w:t>
            </w:r>
            <w:r w:rsidRPr="001752A7">
              <w:rPr>
                <w:vertAlign w:val="subscript"/>
              </w:rPr>
              <w:t>1</w:t>
            </w:r>
            <w:r w:rsidRPr="001752A7">
              <w:t xml:space="preserve">) receptor antagonist, and </w:t>
            </w:r>
            <w:proofErr w:type="spellStart"/>
            <w:r w:rsidRPr="001752A7">
              <w:t>palonosetron</w:t>
            </w:r>
            <w:proofErr w:type="spellEnd"/>
            <w:r w:rsidRPr="001752A7">
              <w:t>, a serotonin-3 (5-HT</w:t>
            </w:r>
            <w:r w:rsidRPr="001752A7">
              <w:rPr>
                <w:vertAlign w:val="subscript"/>
              </w:rPr>
              <w:t>3</w:t>
            </w:r>
            <w:r w:rsidRPr="001752A7">
              <w:t xml:space="preserve">) receptor antagonist for prevention of acute and delayed nausea and vomiting associated with initial and repeat courses of cancer chemotherapy, including highly </w:t>
            </w:r>
            <w:proofErr w:type="spellStart"/>
            <w:r w:rsidRPr="001752A7">
              <w:t>emetogenic</w:t>
            </w:r>
            <w:proofErr w:type="spellEnd"/>
            <w:r w:rsidRPr="001752A7">
              <w:t xml:space="preserve"> chemotherapy</w:t>
            </w:r>
          </w:p>
        </w:tc>
        <w:tc>
          <w:tcPr>
            <w:tcW w:w="2880" w:type="dxa"/>
          </w:tcPr>
          <w:p w:rsidR="009B2FA8" w:rsidRPr="001752A7" w:rsidRDefault="001752A7" w:rsidP="00140A26">
            <w:r w:rsidRPr="001752A7">
              <w:t>Dosing wit</w:t>
            </w:r>
            <w:r w:rsidR="00BC1863">
              <w:t xml:space="preserve">h highly </w:t>
            </w:r>
            <w:proofErr w:type="spellStart"/>
            <w:r w:rsidR="00BC1863">
              <w:t>emetogenic</w:t>
            </w:r>
            <w:proofErr w:type="spellEnd"/>
            <w:r w:rsidR="00BC1863">
              <w:t xml:space="preserve"> chemo</w:t>
            </w:r>
            <w:r w:rsidRPr="001752A7">
              <w:t>, including cisplatin-bas</w:t>
            </w:r>
            <w:r w:rsidR="00BC1863">
              <w:t>ed chemo</w:t>
            </w:r>
            <w:r w:rsidRPr="001752A7">
              <w:t>, is 1 cap</w:t>
            </w:r>
            <w:r w:rsidR="00BC1863">
              <w:t xml:space="preserve">sule administered  </w:t>
            </w:r>
            <w:r w:rsidRPr="001752A7">
              <w:t>1 hour</w:t>
            </w:r>
            <w:r w:rsidR="00BC1863">
              <w:t xml:space="preserve"> before the start of chemo</w:t>
            </w:r>
            <w:r w:rsidRPr="001752A7">
              <w:t>, with dexamethasone 12 mg administered orall</w:t>
            </w:r>
            <w:r w:rsidR="00BC1863">
              <w:t>y 30 minutes before chemo</w:t>
            </w:r>
            <w:r w:rsidRPr="001752A7">
              <w:t xml:space="preserve"> on day 1 and 8 mg of dexamethasone administered orally once daily on days 2 to 4</w:t>
            </w:r>
          </w:p>
          <w:p w:rsidR="001752A7" w:rsidRPr="001752A7" w:rsidRDefault="001752A7" w:rsidP="00BC1863">
            <w:r w:rsidRPr="001752A7">
              <w:t xml:space="preserve">Dosing with </w:t>
            </w:r>
            <w:proofErr w:type="spellStart"/>
            <w:r w:rsidRPr="001752A7">
              <w:t>anthracyclines</w:t>
            </w:r>
            <w:proofErr w:type="spellEnd"/>
            <w:r w:rsidRPr="001752A7">
              <w:t xml:space="preserve"> and cy</w:t>
            </w:r>
            <w:r w:rsidR="00BC1863">
              <w:t xml:space="preserve">clophosphamide-based chemo and chemo </w:t>
            </w:r>
            <w:r w:rsidRPr="001752A7">
              <w:t xml:space="preserve">not considered highly </w:t>
            </w:r>
            <w:proofErr w:type="spellStart"/>
            <w:r w:rsidRPr="001752A7">
              <w:t>emetogenic</w:t>
            </w:r>
            <w:proofErr w:type="spellEnd"/>
            <w:r w:rsidRPr="001752A7">
              <w:t xml:space="preserve"> is 1 capsule approximately 1 hour</w:t>
            </w:r>
            <w:r w:rsidR="00BC1863">
              <w:t xml:space="preserve"> before the start of chemo</w:t>
            </w:r>
            <w:r w:rsidRPr="001752A7">
              <w:t>, with dexamethasone 12 mg administered or</w:t>
            </w:r>
            <w:r w:rsidR="00BC1863">
              <w:t>ally 30 minutes before chemo</w:t>
            </w:r>
            <w:r w:rsidRPr="001752A7">
              <w:t xml:space="preserve"> on day 1. Administration of dexamethasone on days 2 to 4 is not necessary.</w:t>
            </w:r>
            <w:r w:rsidRPr="001752A7">
              <w:rPr>
                <w:vertAlign w:val="superscript"/>
              </w:rPr>
              <w:t>7</w:t>
            </w:r>
          </w:p>
        </w:tc>
        <w:tc>
          <w:tcPr>
            <w:tcW w:w="1170" w:type="dxa"/>
          </w:tcPr>
          <w:p w:rsidR="00BC1863" w:rsidRDefault="00BC1863" w:rsidP="00140A26">
            <w:r>
              <w:t>No other combinations</w:t>
            </w:r>
          </w:p>
          <w:p w:rsidR="00BC1863" w:rsidRDefault="00BC1863" w:rsidP="00140A26"/>
          <w:p w:rsidR="009B2FA8" w:rsidRDefault="00BC1863" w:rsidP="00140A26">
            <w:proofErr w:type="spellStart"/>
            <w:r>
              <w:t>Ondansetron</w:t>
            </w:r>
            <w:proofErr w:type="spellEnd"/>
            <w:r>
              <w:t xml:space="preserve"> (Zofran);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Granisetron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Kytril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C1863" w:rsidRPr="009B2FA8" w:rsidRDefault="00BC1863" w:rsidP="00140A26"/>
        </w:tc>
      </w:tr>
      <w:tr w:rsidR="009B2FA8" w:rsidRPr="007A196B" w:rsidTr="00140A26">
        <w:tc>
          <w:tcPr>
            <w:tcW w:w="1458" w:type="dxa"/>
          </w:tcPr>
          <w:p w:rsidR="009B2FA8" w:rsidRPr="00BC1863" w:rsidRDefault="001752A7" w:rsidP="00140A26">
            <w:proofErr w:type="spellStart"/>
            <w:r w:rsidRPr="00BC1863">
              <w:t>Pirfenidone</w:t>
            </w:r>
            <w:proofErr w:type="spellEnd"/>
            <w:r w:rsidRPr="00BC1863">
              <w:t xml:space="preserve"> (</w:t>
            </w:r>
            <w:proofErr w:type="spellStart"/>
            <w:r w:rsidRPr="00BC1863">
              <w:t>Esbriet</w:t>
            </w:r>
            <w:proofErr w:type="spellEnd"/>
            <w:r w:rsidRPr="00BC1863">
              <w:t xml:space="preserve">) </w:t>
            </w:r>
            <w:proofErr w:type="spellStart"/>
            <w:r w:rsidRPr="00BC1863">
              <w:t>InterMune</w:t>
            </w:r>
            <w:proofErr w:type="spellEnd"/>
          </w:p>
        </w:tc>
        <w:tc>
          <w:tcPr>
            <w:tcW w:w="1170" w:type="dxa"/>
          </w:tcPr>
          <w:p w:rsidR="009B2FA8" w:rsidRPr="00BC1863" w:rsidRDefault="009742C2" w:rsidP="00140A26">
            <w:r w:rsidRPr="00BC1863">
              <w:t xml:space="preserve">Anti-inflammatory / </w:t>
            </w:r>
            <w:proofErr w:type="spellStart"/>
            <w:r w:rsidRPr="00BC1863">
              <w:t>antifibrotic</w:t>
            </w:r>
            <w:proofErr w:type="spellEnd"/>
            <w:r w:rsidRPr="00BC1863">
              <w:t xml:space="preserve"> </w:t>
            </w:r>
          </w:p>
        </w:tc>
        <w:tc>
          <w:tcPr>
            <w:tcW w:w="1260" w:type="dxa"/>
          </w:tcPr>
          <w:p w:rsidR="009B2FA8" w:rsidRPr="00BC1863" w:rsidRDefault="009742C2" w:rsidP="009742C2">
            <w:r w:rsidRPr="00BC1863">
              <w:t xml:space="preserve">Each capsule contains 801 mg of medication </w:t>
            </w:r>
          </w:p>
        </w:tc>
        <w:tc>
          <w:tcPr>
            <w:tcW w:w="3150" w:type="dxa"/>
          </w:tcPr>
          <w:p w:rsidR="009B2FA8" w:rsidRPr="00BC1863" w:rsidRDefault="009742C2" w:rsidP="00140A26">
            <w:r w:rsidRPr="00BC1863">
              <w:t>Treatment of idiopathic pulmonary fibrosis</w:t>
            </w:r>
          </w:p>
        </w:tc>
        <w:tc>
          <w:tcPr>
            <w:tcW w:w="2880" w:type="dxa"/>
          </w:tcPr>
          <w:p w:rsidR="009B2FA8" w:rsidRPr="00BC1863" w:rsidRDefault="009742C2" w:rsidP="00140A26">
            <w:r w:rsidRPr="00BC1863">
              <w:t xml:space="preserve">Treatment is titrated over a 14-day initiation period as follows: 1 capsule 3 times a day on days 1 through 7, followed by 2 capsules 3 times a day on days 8 through 14. Thereafter, maintenance dosing is 3 capsules 3 times a day. </w:t>
            </w:r>
          </w:p>
        </w:tc>
        <w:tc>
          <w:tcPr>
            <w:tcW w:w="1170" w:type="dxa"/>
          </w:tcPr>
          <w:p w:rsidR="009B2FA8" w:rsidRPr="009B2FA8" w:rsidRDefault="009B2FA8" w:rsidP="00140A26"/>
        </w:tc>
      </w:tr>
    </w:tbl>
    <w:p w:rsidR="00BC2DC0" w:rsidRPr="007A196B" w:rsidRDefault="00BC2DC0" w:rsidP="00FF1CA3">
      <w:pPr>
        <w:rPr>
          <w:b/>
          <w:i/>
        </w:rPr>
      </w:pPr>
    </w:p>
    <w:sectPr w:rsidR="00BC2DC0" w:rsidRPr="007A196B" w:rsidSect="0089651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C0"/>
    <w:rsid w:val="00140A26"/>
    <w:rsid w:val="001752A7"/>
    <w:rsid w:val="00354AFD"/>
    <w:rsid w:val="00604E13"/>
    <w:rsid w:val="00641339"/>
    <w:rsid w:val="0077469C"/>
    <w:rsid w:val="007A196B"/>
    <w:rsid w:val="00896510"/>
    <w:rsid w:val="009742C2"/>
    <w:rsid w:val="009B2FA8"/>
    <w:rsid w:val="00BC1863"/>
    <w:rsid w:val="00BC2DC0"/>
    <w:rsid w:val="00C02501"/>
    <w:rsid w:val="00CE58BB"/>
    <w:rsid w:val="00DA3B5A"/>
    <w:rsid w:val="00E91FD9"/>
    <w:rsid w:val="00FD748D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C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C2D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BC2DC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3">
    <w:name w:val="Medium Shading 2 Accent 3"/>
    <w:basedOn w:val="TableNormal"/>
    <w:uiPriority w:val="64"/>
    <w:rsid w:val="00BC2D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C2D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7A19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C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C2D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BC2DC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3">
    <w:name w:val="Medium Shading 2 Accent 3"/>
    <w:basedOn w:val="TableNormal"/>
    <w:uiPriority w:val="64"/>
    <w:rsid w:val="00BC2D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C2D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7A19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Freedman</dc:creator>
  <cp:lastModifiedBy>Carol Freedman</cp:lastModifiedBy>
  <cp:revision>2</cp:revision>
  <dcterms:created xsi:type="dcterms:W3CDTF">2015-05-27T14:10:00Z</dcterms:created>
  <dcterms:modified xsi:type="dcterms:W3CDTF">2015-05-27T14:10:00Z</dcterms:modified>
</cp:coreProperties>
</file>