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C" w:rsidRDefault="00ED099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43.8pt;width:366pt;height:633.15pt;z-index:4" strokecolor="white">
            <v:textbox style="mso-next-textbox:#_x0000_s1031">
              <w:txbxContent>
                <w:p w:rsidR="0061094E" w:rsidRPr="009E084C" w:rsidRDefault="00437E0F" w:rsidP="0061094E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084C">
                    <w:rPr>
                      <w:rFonts w:ascii="Calibri" w:hAnsi="Calibri"/>
                      <w:sz w:val="22"/>
                      <w:szCs w:val="22"/>
                    </w:rPr>
                    <w:t>Many dealers don’t truly know how much of their business is Special Orders and don’t have a system in place that is followed by the entire staff</w:t>
                  </w:r>
                  <w:r w:rsidR="00D416B4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 to assure optimum profit</w:t>
                  </w:r>
                  <w:r w:rsidRPr="009E084C">
                    <w:rPr>
                      <w:rFonts w:ascii="Calibri" w:hAnsi="Calibri"/>
                      <w:sz w:val="22"/>
                      <w:szCs w:val="22"/>
                    </w:rPr>
                    <w:t>. Depending on what time of day and who is working on a project, the cost to the customer and the profit made by the company can vary widely!</w:t>
                  </w:r>
                </w:p>
                <w:p w:rsidR="00437E0F" w:rsidRPr="009E084C" w:rsidRDefault="00437E0F" w:rsidP="0061094E">
                  <w:pPr>
                    <w:pStyle w:val="NoSpacing"/>
                    <w:rPr>
                      <w:rFonts w:ascii="Calibri" w:hAnsi="Calibri"/>
                      <w:sz w:val="10"/>
                      <w:szCs w:val="22"/>
                    </w:rPr>
                  </w:pPr>
                </w:p>
                <w:p w:rsidR="00437E0F" w:rsidRPr="009E084C" w:rsidRDefault="001837B3" w:rsidP="0061094E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Ken Wilbanks will present </w:t>
                  </w:r>
                  <w:r w:rsidR="00E76658" w:rsidRPr="009E084C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725FEF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 workshop </w:t>
                  </w:r>
                  <w:r w:rsidRPr="009E084C">
                    <w:rPr>
                      <w:rFonts w:ascii="Calibri" w:hAnsi="Calibri"/>
                      <w:sz w:val="22"/>
                      <w:szCs w:val="22"/>
                    </w:rPr>
                    <w:t>to</w:t>
                  </w:r>
                  <w:r w:rsidR="00725FEF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 help participants </w:t>
                  </w:r>
                  <w:r w:rsidR="00622025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track &amp; </w:t>
                  </w:r>
                  <w:r w:rsidR="00725FEF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“systemize” this area of your business to achieve consistent </w:t>
                  </w:r>
                  <w:r w:rsidR="00934948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margins on each order. </w:t>
                  </w:r>
                  <w:r w:rsidR="00625218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The program will </w:t>
                  </w:r>
                  <w:r w:rsidR="00205FFC" w:rsidRPr="009E084C">
                    <w:rPr>
                      <w:rFonts w:ascii="Calibri" w:hAnsi="Calibri"/>
                      <w:sz w:val="22"/>
                      <w:szCs w:val="22"/>
                    </w:rPr>
                    <w:t>cover</w:t>
                  </w:r>
                  <w:r w:rsidR="00625218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 measurements and benchmarks for targeting optimum gross margin achievement in every special order, detailed checklists for all costs associated with a special order and receiving best practices that stop losses from mishandling</w:t>
                  </w:r>
                  <w:r w:rsidR="00205FFC" w:rsidRPr="009E084C">
                    <w:rPr>
                      <w:rFonts w:ascii="Calibri" w:hAnsi="Calibri"/>
                      <w:sz w:val="22"/>
                      <w:szCs w:val="22"/>
                    </w:rPr>
                    <w:t>. It will also bring a fresh attitude and new skills for raising the confidence and performance of your entire team of buyers and sales staff toward th</w:t>
                  </w:r>
                  <w:r w:rsidR="00D416B4" w:rsidRPr="009E084C">
                    <w:rPr>
                      <w:rFonts w:ascii="Calibri" w:hAnsi="Calibri"/>
                      <w:sz w:val="22"/>
                      <w:szCs w:val="22"/>
                    </w:rPr>
                    <w:t>at</w:t>
                  </w:r>
                  <w:r w:rsidR="00205FFC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 ever important objective of raising gross margins</w:t>
                  </w:r>
                  <w:r w:rsidR="00D416B4" w:rsidRPr="009E084C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r w:rsidR="00D416B4" w:rsidRPr="009E084C">
                    <w:rPr>
                      <w:rFonts w:ascii="Calibri" w:hAnsi="Calibri"/>
                      <w:b/>
                      <w:sz w:val="22"/>
                      <w:szCs w:val="22"/>
                    </w:rPr>
                    <w:t>The end results of this workshop will be a strong increase to your bottom line without additional operating costs</w:t>
                  </w:r>
                  <w:r w:rsidRPr="009E084C">
                    <w:rPr>
                      <w:rFonts w:ascii="Calibri" w:hAnsi="Calibri"/>
                      <w:b/>
                      <w:sz w:val="22"/>
                      <w:szCs w:val="22"/>
                    </w:rPr>
                    <w:t>!</w:t>
                  </w:r>
                </w:p>
                <w:p w:rsidR="0061094E" w:rsidRPr="009E084C" w:rsidRDefault="0061094E" w:rsidP="0061094E">
                  <w:pPr>
                    <w:pStyle w:val="NoSpacing"/>
                    <w:rPr>
                      <w:sz w:val="10"/>
                      <w:szCs w:val="22"/>
                    </w:rPr>
                  </w:pPr>
                </w:p>
                <w:p w:rsidR="00587C7C" w:rsidRPr="009E084C" w:rsidRDefault="001837B3" w:rsidP="0061094E">
                  <w:pPr>
                    <w:pStyle w:val="NoSpacing"/>
                    <w:rPr>
                      <w:rFonts w:ascii="Calibri" w:hAnsi="Calibri"/>
                      <w:b/>
                      <w:bCs/>
                      <w:color w:val="003366"/>
                      <w:sz w:val="22"/>
                      <w:szCs w:val="22"/>
                    </w:rPr>
                  </w:pPr>
                  <w:r w:rsidRPr="009E084C">
                    <w:rPr>
                      <w:rFonts w:ascii="Calibri" w:hAnsi="Calibri"/>
                      <w:b/>
                      <w:bCs/>
                      <w:color w:val="003366"/>
                      <w:sz w:val="22"/>
                      <w:szCs w:val="22"/>
                    </w:rPr>
                    <w:t>Key Elements of this Program</w:t>
                  </w:r>
                  <w:r w:rsidR="00587C7C" w:rsidRPr="009E084C">
                    <w:rPr>
                      <w:rFonts w:ascii="Calibri" w:hAnsi="Calibri"/>
                      <w:b/>
                      <w:bCs/>
                      <w:color w:val="003366"/>
                      <w:sz w:val="22"/>
                      <w:szCs w:val="22"/>
                    </w:rPr>
                    <w:t>: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  <w:rPr>
                      <w:color w:val="000000"/>
                    </w:rPr>
                  </w:pPr>
                  <w:r w:rsidRPr="009E084C">
                    <w:rPr>
                      <w:color w:val="000000"/>
                    </w:rPr>
                    <w:t>Why Margin Management on Special Orders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Reputation and Trust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Reduce Margin Erosion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Team Cohesiveness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 xml:space="preserve">Special Orders are Labor Intensive and Higher Risk than Stock Orders 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Get Paid for your Professional Mastery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The 5 point Premium Benchmark for Special Orders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Non-Stock vs. Special vs. Extra Special Orders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“Keystone Principle” on  Smaller Orders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 xml:space="preserve">Markup – Margin – Sell Factors 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Measuring Where You are and Setting Your Beginning Targets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Continuous Margin Management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How to Manage Exceptions to Target Margins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Monitor Your Performance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Catching the Leaks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Missing Freight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Discounts from Margin Targets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Wrong Cost Errors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Incorrect Pricing from Math Mistakes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“Stuck With” Special Orders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Reorders due to Lost/Damaged Product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0"/>
                      <w:numId w:val="4"/>
                    </w:numPr>
                    <w:spacing w:line="256" w:lineRule="auto"/>
                  </w:pPr>
                  <w:r w:rsidRPr="009E084C">
                    <w:t>Game Stats and Scoreboards are BOTH Personal Performance Measures and TEAM Measures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Make all Measurements Highly Visible</w:t>
                  </w:r>
                </w:p>
                <w:p w:rsidR="009A390F" w:rsidRPr="009E084C" w:rsidRDefault="009A390F" w:rsidP="009A390F">
                  <w:pPr>
                    <w:pStyle w:val="ListParagraph"/>
                    <w:numPr>
                      <w:ilvl w:val="2"/>
                      <w:numId w:val="4"/>
                    </w:numPr>
                    <w:spacing w:line="256" w:lineRule="auto"/>
                  </w:pPr>
                  <w:r w:rsidRPr="009E084C">
                    <w:t>Healthy Competitive Pressure between Peers</w:t>
                  </w:r>
                </w:p>
                <w:p w:rsidR="000902AE" w:rsidRPr="009E084C" w:rsidRDefault="000902AE" w:rsidP="000902AE">
                  <w:pPr>
                    <w:rPr>
                      <w:color w:val="800000"/>
                      <w:sz w:val="22"/>
                      <w:szCs w:val="22"/>
                    </w:rPr>
                  </w:pPr>
                </w:p>
                <w:p w:rsidR="00587C7C" w:rsidRPr="009E084C" w:rsidRDefault="00587C7C">
                  <w:pPr>
                    <w:rPr>
                      <w:b/>
                      <w:bCs/>
                      <w:i/>
                      <w:iCs/>
                      <w:color w:val="003366"/>
                      <w:sz w:val="22"/>
                      <w:szCs w:val="22"/>
                    </w:rPr>
                  </w:pPr>
                </w:p>
                <w:p w:rsidR="000902AE" w:rsidRPr="009E084C" w:rsidRDefault="000902AE">
                  <w:pPr>
                    <w:rPr>
                      <w:b/>
                      <w:bCs/>
                      <w:i/>
                      <w:iCs/>
                      <w:color w:val="003366"/>
                      <w:sz w:val="22"/>
                      <w:szCs w:val="22"/>
                    </w:rPr>
                  </w:pPr>
                </w:p>
                <w:p w:rsidR="00587C7C" w:rsidRPr="009E084C" w:rsidRDefault="00587C7C">
                  <w:pPr>
                    <w:rPr>
                      <w:b/>
                      <w:bCs/>
                      <w:color w:val="00336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flip:x;z-index:7" from="-12pt,644.35pt" to="357pt,644.35pt" strokecolor="#036"/>
        </w:pict>
      </w:r>
      <w:r>
        <w:rPr>
          <w:noProof/>
        </w:rPr>
        <w:pict>
          <v:shape id="_x0000_s1027" type="#_x0000_t202" style="position:absolute;margin-left:-5.4pt;margin-top:648.6pt;width:347.9pt;height:80.4pt;z-index:6" strokecolor="white">
            <v:textbox style="mso-next-textbox:#_x0000_s1027">
              <w:txbxContent>
                <w:p w:rsidR="00587C7C" w:rsidRDefault="00587C7C">
                  <w:pPr>
                    <w:rPr>
                      <w:rFonts w:ascii="Arial Black" w:hAnsi="Arial Black" w:cs="Arial Black"/>
                    </w:rPr>
                  </w:pPr>
                  <w:r>
                    <w:rPr>
                      <w:rFonts w:ascii="Arial Black" w:hAnsi="Arial Black" w:cs="Arial Black"/>
                    </w:rPr>
                    <w:t>SEMINAR DATE, TIME &amp; LOCATION:</w:t>
                  </w:r>
                </w:p>
                <w:p w:rsidR="00587C7C" w:rsidRPr="0061094E" w:rsidRDefault="004B52BF">
                  <w:pPr>
                    <w:rPr>
                      <w:rFonts w:ascii="Arial Black" w:hAnsi="Arial Black" w:cs="Arial Black"/>
                      <w:i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i/>
                      <w:sz w:val="20"/>
                      <w:szCs w:val="20"/>
                    </w:rPr>
                    <w:t>November 10, 2015</w:t>
                  </w:r>
                  <w:r w:rsidR="00220380">
                    <w:rPr>
                      <w:rFonts w:ascii="Arial Black" w:hAnsi="Arial Black" w:cs="Arial Black"/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 Black" w:hAnsi="Arial Black" w:cs="Arial Black"/>
                      <w:i/>
                      <w:sz w:val="20"/>
                      <w:szCs w:val="20"/>
                    </w:rPr>
                    <w:t>Columbus, OH</w:t>
                  </w:r>
                  <w:r w:rsidR="00587C7C" w:rsidRPr="0061094E">
                    <w:rPr>
                      <w:rFonts w:ascii="Arial Black" w:hAnsi="Arial Black" w:cs="Arial Black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11BE5" w:rsidRPr="0061094E" w:rsidRDefault="00211BE5" w:rsidP="00211BE5">
                  <w:pPr>
                    <w:pStyle w:val="E-mailSignature"/>
                    <w:rPr>
                      <w:rFonts w:ascii="Arial Black" w:hAnsi="Arial Black" w:cs="Arial Black"/>
                      <w:sz w:val="4"/>
                      <w:szCs w:val="20"/>
                    </w:rPr>
                  </w:pPr>
                </w:p>
                <w:p w:rsidR="00211BE5" w:rsidRPr="0061094E" w:rsidRDefault="00C53812" w:rsidP="00CA241D">
                  <w:pPr>
                    <w:rPr>
                      <w:rFonts w:ascii="Calibri" w:hAnsi="Calibri" w:cs="Arial Black"/>
                      <w:b/>
                      <w:color w:val="003366"/>
                      <w:sz w:val="18"/>
                      <w:szCs w:val="18"/>
                    </w:rPr>
                  </w:pPr>
                  <w:r w:rsidRPr="0061094E">
                    <w:rPr>
                      <w:rFonts w:ascii="Calibri" w:hAnsi="Calibri" w:cs="Arial Black"/>
                      <w:b/>
                      <w:color w:val="003366"/>
                      <w:sz w:val="18"/>
                      <w:szCs w:val="18"/>
                    </w:rPr>
                    <w:t xml:space="preserve">Exact Location of Program &amp; </w:t>
                  </w:r>
                  <w:r w:rsidR="008E28EE" w:rsidRPr="0061094E">
                    <w:rPr>
                      <w:rFonts w:ascii="Calibri" w:hAnsi="Calibri" w:cs="Arial Black"/>
                      <w:b/>
                      <w:color w:val="003366"/>
                      <w:sz w:val="18"/>
                      <w:szCs w:val="18"/>
                    </w:rPr>
                    <w:t>Lodging</w:t>
                  </w:r>
                  <w:r w:rsidRPr="0061094E">
                    <w:rPr>
                      <w:rFonts w:ascii="Calibri" w:hAnsi="Calibri" w:cs="Arial Black"/>
                      <w:b/>
                      <w:color w:val="003366"/>
                      <w:sz w:val="18"/>
                      <w:szCs w:val="18"/>
                    </w:rPr>
                    <w:t xml:space="preserve"> Information will be sent with Confirmation Letter</w:t>
                  </w:r>
                </w:p>
                <w:p w:rsidR="00211BE5" w:rsidRPr="0061094E" w:rsidRDefault="00211BE5">
                  <w:pPr>
                    <w:rPr>
                      <w:rFonts w:ascii="Arial Black" w:hAnsi="Arial Black" w:cs="Arial Black"/>
                      <w:sz w:val="4"/>
                      <w:szCs w:val="20"/>
                    </w:rPr>
                  </w:pPr>
                </w:p>
                <w:p w:rsidR="00220380" w:rsidRPr="006A53D1" w:rsidRDefault="00587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3A0">
                    <w:rPr>
                      <w:rFonts w:ascii="Arial Black" w:hAnsi="Arial Black" w:cs="Arial"/>
                      <w:b/>
                      <w:bCs/>
                      <w:color w:val="003366"/>
                      <w:sz w:val="20"/>
                      <w:szCs w:val="20"/>
                    </w:rPr>
                    <w:t>C</w:t>
                  </w:r>
                  <w:r w:rsidRPr="00211BE5">
                    <w:rPr>
                      <w:rFonts w:ascii="Arial Black" w:hAnsi="Arial Black" w:cs="Arial"/>
                      <w:b/>
                      <w:bCs/>
                      <w:color w:val="003366"/>
                      <w:sz w:val="20"/>
                      <w:szCs w:val="20"/>
                    </w:rPr>
                    <w:t>las</w:t>
                  </w:r>
                  <w:r w:rsidRPr="004F23A0">
                    <w:rPr>
                      <w:rFonts w:ascii="Arial Black" w:hAnsi="Arial Black" w:cs="Arial"/>
                      <w:b/>
                      <w:bCs/>
                      <w:color w:val="003366"/>
                      <w:sz w:val="20"/>
                      <w:szCs w:val="20"/>
                    </w:rPr>
                    <w:t>s:</w:t>
                  </w:r>
                  <w:r w:rsidR="004F23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52BF">
                    <w:rPr>
                      <w:rFonts w:ascii="Arial" w:hAnsi="Arial" w:cs="Arial"/>
                      <w:sz w:val="20"/>
                      <w:szCs w:val="20"/>
                    </w:rPr>
                    <w:t>November 10, 2015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="004B52B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220380">
                    <w:rPr>
                      <w:rFonts w:ascii="Arial" w:hAnsi="Arial" w:cs="Arial"/>
                      <w:sz w:val="20"/>
                      <w:szCs w:val="20"/>
                    </w:rPr>
                    <w:t xml:space="preserve">:00 </w:t>
                  </w:r>
                  <w:r w:rsidR="004B52BF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22038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="004B52B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:00 PM </w:t>
                  </w:r>
                </w:p>
                <w:p w:rsidR="004F23A0" w:rsidRPr="00567FB4" w:rsidRDefault="004F23A0" w:rsidP="004F23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F23A0" w:rsidRPr="00567FB4" w:rsidRDefault="004F23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0pt;margin-top:-43.2pt;width:258pt;height:83.4pt;z-index:1" strokecolor="white">
            <v:textbox style="mso-next-textbox:#_x0000_s1026">
              <w:txbxContent>
                <w:p w:rsidR="00587C7C" w:rsidRPr="004020AB" w:rsidRDefault="00587C7C" w:rsidP="006F2D78">
                  <w:pPr>
                    <w:tabs>
                      <w:tab w:val="left" w:pos="1440"/>
                    </w:tabs>
                    <w:rPr>
                      <w:rFonts w:ascii="Arial Narrow" w:hAnsi="Arial Narrow" w:cs="Arial Narrow"/>
                      <w:i/>
                      <w:iCs/>
                      <w:sz w:val="10"/>
                      <w:szCs w:val="10"/>
                    </w:rPr>
                  </w:pPr>
                </w:p>
                <w:p w:rsidR="00B31026" w:rsidRDefault="00622025" w:rsidP="00622025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  <w:t xml:space="preserve">                  </w:t>
                  </w:r>
                  <w:r w:rsidR="00B31026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  <w:t xml:space="preserve">Management of </w:t>
                  </w:r>
                </w:p>
                <w:p w:rsidR="00587C7C" w:rsidRPr="0015266F" w:rsidRDefault="00622025" w:rsidP="00622025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  <w:t xml:space="preserve">        </w:t>
                  </w:r>
                  <w:r w:rsidR="00B31026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3366"/>
                      <w:sz w:val="32"/>
                      <w:szCs w:val="28"/>
                    </w:rPr>
                    <w:t>Special Order Processing</w:t>
                  </w:r>
                </w:p>
                <w:p w:rsidR="0015266F" w:rsidRPr="0061094E" w:rsidRDefault="00587C7C" w:rsidP="00E17D7E">
                  <w:pPr>
                    <w:ind w:firstLine="720"/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4"/>
                      <w:szCs w:val="20"/>
                    </w:rPr>
                  </w:pPr>
                  <w:r w:rsidRP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               </w:t>
                  </w:r>
                  <w:r w:rsidR="00751EF2" w:rsidRP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 </w:t>
                  </w:r>
                </w:p>
                <w:p w:rsidR="00587C7C" w:rsidRPr="0015266F" w:rsidRDefault="0015266F" w:rsidP="00E17D7E">
                  <w:pPr>
                    <w:ind w:firstLine="720"/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Cs w:val="22"/>
                    </w:rPr>
                    <w:t xml:space="preserve">           </w:t>
                  </w:r>
                  <w:r w:rsidR="00C67F88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Cs w:val="22"/>
                    </w:rPr>
                    <w:t>November 10, 2015</w:t>
                  </w:r>
                </w:p>
                <w:p w:rsidR="00587C7C" w:rsidRPr="0015266F" w:rsidRDefault="004B15BE" w:rsidP="00E17D7E">
                  <w:pPr>
                    <w:ind w:firstLine="720"/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4"/>
                      <w:szCs w:val="20"/>
                    </w:rPr>
                  </w:pPr>
                  <w:r w:rsidRP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 </w:t>
                  </w:r>
                </w:p>
                <w:p w:rsidR="00587C7C" w:rsidRPr="0015266F" w:rsidRDefault="00751EF2" w:rsidP="00E17D7E">
                  <w:pPr>
                    <w:ind w:firstLine="720"/>
                    <w:rPr>
                      <w:i/>
                      <w:iCs/>
                      <w:color w:val="800000"/>
                      <w:sz w:val="22"/>
                      <w:szCs w:val="20"/>
                    </w:rPr>
                  </w:pPr>
                  <w:r w:rsidRP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      </w:t>
                  </w:r>
                  <w:r w:rsid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 </w:t>
                  </w:r>
                  <w:r w:rsidR="00C67F88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</w:t>
                  </w:r>
                  <w:r w:rsidR="0015266F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</w:t>
                  </w:r>
                  <w:r w:rsidR="00C67F88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800000"/>
                      <w:sz w:val="22"/>
                      <w:szCs w:val="20"/>
                    </w:rPr>
                    <w:t xml:space="preserve">  Columbus, Ohio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.9pt;margin-top:-34.2pt;width:65.9pt;height:66.35pt;z-index:8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noProof/>
        </w:rPr>
        <w:pict>
          <v:line id="_x0000_s1032" style="position:absolute;z-index:3" from="-3pt,40.2pt" to="348pt,40.2pt" strokecolor="#036"/>
        </w:pict>
      </w:r>
      <w:r>
        <w:rPr>
          <w:noProof/>
        </w:rPr>
        <w:pict>
          <v:shape id="_x0000_s1029" type="#_x0000_t75" style="position:absolute;margin-left:426.6pt;margin-top:-38.55pt;width:48.4pt;height:48.75pt;z-index:9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noProof/>
        </w:rPr>
        <w:pict>
          <v:shape id="_x0000_s1033" type="#_x0000_t202" style="position:absolute;margin-left:373.4pt;margin-top:10.2pt;width:198pt;height:729pt;z-index:5" strokecolor="white">
            <v:textbox style="mso-next-textbox:#_x0000_s1033">
              <w:txbxContent>
                <w:p w:rsidR="00587C7C" w:rsidRDefault="00587C7C">
                  <w:pPr>
                    <w:rPr>
                      <w:rFonts w:ascii="Arial Black" w:hAnsi="Arial Black" w:cs="Arial Black"/>
                    </w:rPr>
                  </w:pPr>
                  <w:r w:rsidRPr="002553E5">
                    <w:rPr>
                      <w:rFonts w:ascii="Arial Black" w:hAnsi="Arial Black" w:cs="Arial Black"/>
                    </w:rPr>
                    <w:t xml:space="preserve">Please Register </w:t>
                  </w:r>
                </w:p>
                <w:p w:rsidR="00587C7C" w:rsidRDefault="00587C7C">
                  <w:pPr>
                    <w:rPr>
                      <w:rFonts w:ascii="Arial Black" w:hAnsi="Arial Black" w:cs="Arial Black"/>
                    </w:rPr>
                  </w:pPr>
                  <w:r w:rsidRPr="002553E5">
                    <w:rPr>
                      <w:rFonts w:ascii="Arial Black" w:hAnsi="Arial Black" w:cs="Arial Black"/>
                    </w:rPr>
                    <w:t>the Following People:</w:t>
                  </w:r>
                </w:p>
                <w:p w:rsidR="00587C7C" w:rsidRPr="00784FBC" w:rsidRDefault="00587C7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84FBC"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________________________________________________________________________________________________________________________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0D51">
                    <w:rPr>
                      <w:rFonts w:ascii="Arial" w:hAnsi="Arial" w:cs="Arial"/>
                      <w:sz w:val="20"/>
                      <w:szCs w:val="20"/>
                    </w:rPr>
                    <w:t>Company Information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(please print)</w:t>
                  </w: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 w:rsidP="001651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0D51">
                    <w:rPr>
                      <w:rFonts w:ascii="Arial" w:hAnsi="Arial" w:cs="Arial"/>
                      <w:sz w:val="14"/>
                      <w:szCs w:val="14"/>
                    </w:rPr>
                    <w:t>Company Name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______________________________________________Contact Name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Pr="003B0D51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51BB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ity/State/Zip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Telephone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</w:t>
                  </w:r>
                </w:p>
                <w:p w:rsidR="00587C7C" w:rsidRDefault="00587C7C" w:rsidP="003C1FC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E-mail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7C7C" w:rsidRPr="0007122F" w:rsidRDefault="00587C7C">
                  <w:pPr>
                    <w:rPr>
                      <w:rFonts w:ascii="Arial Black" w:hAnsi="Arial Black" w:cs="Arial Black"/>
                      <w:color w:val="800000"/>
                      <w:sz w:val="18"/>
                      <w:szCs w:val="18"/>
                    </w:rPr>
                  </w:pPr>
                  <w:r w:rsidRPr="0007122F"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>To register please complete &amp; fax to:    804.758.9311 or email to: chartley</w:t>
                  </w:r>
                  <w:r w:rsidR="003E391A">
                    <w:rPr>
                      <w:rFonts w:ascii="Arial Black" w:hAnsi="Arial Black" w:cs="Arial Black"/>
                      <w:color w:val="800000"/>
                      <w:sz w:val="20"/>
                      <w:szCs w:val="20"/>
                    </w:rPr>
                    <w:t>@mybmsa.org</w:t>
                  </w:r>
                </w:p>
                <w:p w:rsidR="00587C7C" w:rsidRPr="0007122F" w:rsidRDefault="00587C7C">
                  <w:pPr>
                    <w:rPr>
                      <w:rFonts w:ascii="Arial Black" w:hAnsi="Arial Black" w:cs="Arial Black"/>
                      <w:color w:val="003366"/>
                      <w:sz w:val="10"/>
                      <w:szCs w:val="10"/>
                    </w:rPr>
                  </w:pPr>
                </w:p>
                <w:p w:rsidR="00587C7C" w:rsidRPr="0007122F" w:rsidRDefault="00587C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3366"/>
                      <w:sz w:val="16"/>
                      <w:szCs w:val="16"/>
                    </w:rPr>
                  </w:pPr>
                  <w:r w:rsidRPr="0007122F">
                    <w:rPr>
                      <w:rFonts w:ascii="Arial" w:hAnsi="Arial" w:cs="Arial"/>
                      <w:b/>
                      <w:bCs/>
                      <w:i/>
                      <w:iCs/>
                      <w:color w:val="003366"/>
                      <w:sz w:val="16"/>
                      <w:szCs w:val="16"/>
                    </w:rPr>
                    <w:t>Questions? Phone: 800.966.4202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Pr="00C53812" w:rsidRDefault="00587C7C">
                  <w:pPr>
                    <w:rPr>
                      <w:rFonts w:ascii="Arial Black" w:hAnsi="Arial Black" w:cs="Arial Black"/>
                      <w:color w:val="003366"/>
                      <w:sz w:val="20"/>
                      <w:szCs w:val="20"/>
                    </w:rPr>
                  </w:pPr>
                  <w:r w:rsidRPr="00C53812">
                    <w:rPr>
                      <w:rFonts w:ascii="Arial Black" w:hAnsi="Arial Black" w:cs="Arial Black"/>
                      <w:color w:val="003366"/>
                      <w:sz w:val="20"/>
                      <w:szCs w:val="20"/>
                    </w:rPr>
                    <w:t xml:space="preserve">BMSA MEMBER TUITION: 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Pr="00C53812" w:rsidRDefault="00CD5D5C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07122F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1</w:t>
                  </w:r>
                  <w:r w:rsidRPr="0007122F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for 1st Person &amp; $179 each additional</w:t>
                  </w:r>
                  <w:r w:rsidR="004F5640">
                    <w:rPr>
                      <w:rFonts w:ascii="Arial" w:hAnsi="Arial" w:cs="Arial"/>
                      <w:sz w:val="20"/>
                      <w:szCs w:val="20"/>
                    </w:rPr>
                    <w:t xml:space="preserve"> person</w:t>
                  </w:r>
                </w:p>
                <w:p w:rsidR="00587C7C" w:rsidRPr="00C53812" w:rsidRDefault="00587C7C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587C7C" w:rsidRPr="00C53812" w:rsidRDefault="00C53812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C53812"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For Non BMSA members: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="00587C7C" w:rsidRPr="00C53812">
                    <w:rPr>
                      <w:rFonts w:ascii="Arial" w:hAnsi="Arial" w:cs="Arial"/>
                      <w:sz w:val="18"/>
                      <w:szCs w:val="16"/>
                    </w:rPr>
                    <w:t>$</w:t>
                  </w:r>
                  <w:r w:rsidR="00221C08">
                    <w:rPr>
                      <w:rFonts w:ascii="Arial" w:hAnsi="Arial" w:cs="Arial"/>
                      <w:sz w:val="18"/>
                      <w:szCs w:val="16"/>
                    </w:rPr>
                    <w:t>299</w:t>
                  </w:r>
                  <w:r w:rsidR="00587C7C" w:rsidRPr="00C53812">
                    <w:rPr>
                      <w:rFonts w:ascii="Arial" w:hAnsi="Arial" w:cs="Arial"/>
                      <w:sz w:val="18"/>
                      <w:szCs w:val="16"/>
                    </w:rPr>
                    <w:t xml:space="preserve"> per person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Pr="00623709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749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Tuition includes </w:t>
                  </w:r>
                  <w:r w:rsidR="00C5381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program</w:t>
                  </w:r>
                  <w:r w:rsidR="003E391A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and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all handout materials</w:t>
                  </w:r>
                  <w:r w:rsidRPr="0084749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 </w:t>
                  </w:r>
                  <w:r w:rsidRPr="0084749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Transportation, meals, lodging and incidental expenses are not included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587C7C" w:rsidRDefault="00587C7C">
                  <w:pPr>
                    <w:rPr>
                      <w:rFonts w:ascii="Arial Black" w:hAnsi="Arial Black" w:cs="Arial Black"/>
                      <w:sz w:val="16"/>
                      <w:szCs w:val="16"/>
                    </w:rPr>
                  </w:pPr>
                </w:p>
                <w:p w:rsidR="00587C7C" w:rsidRPr="00EC3625" w:rsidRDefault="00587C7C">
                  <w:pPr>
                    <w:rPr>
                      <w:rFonts w:ascii="Arial Black" w:hAnsi="Arial Black" w:cs="Arial Black"/>
                      <w:color w:val="003366"/>
                      <w:sz w:val="16"/>
                      <w:szCs w:val="16"/>
                    </w:rPr>
                  </w:pPr>
                  <w:r w:rsidRPr="00EC3625">
                    <w:rPr>
                      <w:rFonts w:ascii="Arial Black" w:hAnsi="Arial Black" w:cs="Arial Black"/>
                      <w:color w:val="003366"/>
                      <w:sz w:val="16"/>
                      <w:szCs w:val="16"/>
                    </w:rPr>
                    <w:t xml:space="preserve">Payment Options: </w:t>
                  </w:r>
                </w:p>
                <w:p w:rsidR="00587C7C" w:rsidRDefault="00587C7C">
                  <w:pPr>
                    <w:rPr>
                      <w:rFonts w:ascii="Arial Black" w:hAnsi="Arial Black" w:cs="Arial Black"/>
                      <w:sz w:val="16"/>
                      <w:szCs w:val="1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Enclosed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MasterCard    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Bill Us (Members Only)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>
                    <w:rPr>
                      <w:rFonts w:ascii="Wingdings" w:hAnsi="Wingdings" w:cs="Wingdings"/>
                      <w:sz w:val="16"/>
                      <w:szCs w:val="16"/>
                    </w:rPr>
                    <w:t>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AMEX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Card # _________________________________________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Security # _______Exp. Date: ___________/_____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C7C" w:rsidRDefault="00587C7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Checks should be sent to BMSA at: PO Box 18667, Charlotte, NC 28218</w:t>
                  </w:r>
                </w:p>
                <w:p w:rsidR="00587C7C" w:rsidRDefault="00587C7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87C7C" w:rsidRPr="00776220" w:rsidRDefault="00587C7C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7622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Cancellation Policy: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7622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Any cancellation must be received </w:t>
                  </w:r>
                  <w:r w:rsidR="003E391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2</w:t>
                  </w:r>
                  <w:r w:rsidR="006E37B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 w:rsidRPr="0077622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F4551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business </w:t>
                  </w:r>
                  <w:r w:rsidRPr="0077622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days prior to the seminar. After </w:t>
                  </w:r>
                  <w:smartTag w:uri="urn:schemas-microsoft-com:office:smarttags" w:element="time">
                    <w:smartTagPr>
                      <w:attr w:name="Minute" w:val="0"/>
                      <w:attr w:name="Hour" w:val="12"/>
                    </w:smartTagPr>
                    <w:r w:rsidRPr="00776220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noon</w:t>
                    </w:r>
                  </w:smartTag>
                  <w:r w:rsidRPr="0077622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on </w:t>
                  </w:r>
                  <w:r w:rsidR="00C53812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 xml:space="preserve">October </w:t>
                  </w:r>
                  <w:r w:rsidR="00AA7B2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13</w:t>
                  </w:r>
                  <w:r w:rsidR="00F45518" w:rsidRPr="00F45518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, 201</w:t>
                  </w:r>
                  <w:r w:rsidR="00AA7B2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5</w:t>
                  </w:r>
                  <w:r w:rsidR="00F4551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77622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charges are due regardless of attendance. </w:t>
                  </w:r>
                </w:p>
                <w:p w:rsidR="00587C7C" w:rsidRPr="001651BB" w:rsidRDefault="00587C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" from="363.6pt,0" to="363.6pt,729pt" strokecolor="maroon"/>
        </w:pict>
      </w:r>
    </w:p>
    <w:sectPr w:rsidR="00587C7C" w:rsidSect="008E1FF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7021"/>
    <w:multiLevelType w:val="hybridMultilevel"/>
    <w:tmpl w:val="5ED0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683"/>
    <w:multiLevelType w:val="hybridMultilevel"/>
    <w:tmpl w:val="6D00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5AB7"/>
    <w:multiLevelType w:val="hybridMultilevel"/>
    <w:tmpl w:val="757ED180"/>
    <w:lvl w:ilvl="0" w:tplc="C81A44A8">
      <w:start w:val="1"/>
      <w:numFmt w:val="decimal"/>
      <w:pStyle w:val="bullet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657F4"/>
    <w:multiLevelType w:val="hybridMultilevel"/>
    <w:tmpl w:val="9056C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7031"/>
    <w:multiLevelType w:val="hybridMultilevel"/>
    <w:tmpl w:val="43C8C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FD"/>
    <w:rsid w:val="00067A51"/>
    <w:rsid w:val="0007122F"/>
    <w:rsid w:val="000902AE"/>
    <w:rsid w:val="000A574B"/>
    <w:rsid w:val="000D21B1"/>
    <w:rsid w:val="000E5CDD"/>
    <w:rsid w:val="000E5E28"/>
    <w:rsid w:val="000E75EF"/>
    <w:rsid w:val="00103637"/>
    <w:rsid w:val="0015266F"/>
    <w:rsid w:val="001651BB"/>
    <w:rsid w:val="001837B3"/>
    <w:rsid w:val="00185739"/>
    <w:rsid w:val="00187191"/>
    <w:rsid w:val="0019475D"/>
    <w:rsid w:val="001A0FD4"/>
    <w:rsid w:val="001A41B4"/>
    <w:rsid w:val="001B7012"/>
    <w:rsid w:val="001C6435"/>
    <w:rsid w:val="001E4E1B"/>
    <w:rsid w:val="001E7E43"/>
    <w:rsid w:val="00205FFC"/>
    <w:rsid w:val="00211BE5"/>
    <w:rsid w:val="00220380"/>
    <w:rsid w:val="00221C08"/>
    <w:rsid w:val="00225870"/>
    <w:rsid w:val="00227ED7"/>
    <w:rsid w:val="002328E0"/>
    <w:rsid w:val="00244DCB"/>
    <w:rsid w:val="00246F78"/>
    <w:rsid w:val="00252E1D"/>
    <w:rsid w:val="002553E5"/>
    <w:rsid w:val="00261447"/>
    <w:rsid w:val="00266845"/>
    <w:rsid w:val="002840F2"/>
    <w:rsid w:val="002E4A1E"/>
    <w:rsid w:val="002F08B8"/>
    <w:rsid w:val="0031421C"/>
    <w:rsid w:val="00315CF2"/>
    <w:rsid w:val="003629E0"/>
    <w:rsid w:val="00370361"/>
    <w:rsid w:val="003B0D51"/>
    <w:rsid w:val="003B1D17"/>
    <w:rsid w:val="003C1FC6"/>
    <w:rsid w:val="003D5D11"/>
    <w:rsid w:val="003E391A"/>
    <w:rsid w:val="004009AA"/>
    <w:rsid w:val="004020AB"/>
    <w:rsid w:val="00437E0F"/>
    <w:rsid w:val="004B15BE"/>
    <w:rsid w:val="004B52BF"/>
    <w:rsid w:val="004F23A0"/>
    <w:rsid w:val="004F5640"/>
    <w:rsid w:val="00526345"/>
    <w:rsid w:val="005263B2"/>
    <w:rsid w:val="005364FD"/>
    <w:rsid w:val="0055567D"/>
    <w:rsid w:val="00567FB4"/>
    <w:rsid w:val="005704B2"/>
    <w:rsid w:val="0057740A"/>
    <w:rsid w:val="00587C7C"/>
    <w:rsid w:val="00593C3F"/>
    <w:rsid w:val="005D32E9"/>
    <w:rsid w:val="0061094E"/>
    <w:rsid w:val="00622025"/>
    <w:rsid w:val="00623709"/>
    <w:rsid w:val="00625218"/>
    <w:rsid w:val="0062668A"/>
    <w:rsid w:val="00626C19"/>
    <w:rsid w:val="0062720D"/>
    <w:rsid w:val="00645097"/>
    <w:rsid w:val="00650387"/>
    <w:rsid w:val="006537D5"/>
    <w:rsid w:val="00656BB9"/>
    <w:rsid w:val="00661834"/>
    <w:rsid w:val="006667C8"/>
    <w:rsid w:val="006A53D1"/>
    <w:rsid w:val="006D4708"/>
    <w:rsid w:val="006E37BD"/>
    <w:rsid w:val="006F2D78"/>
    <w:rsid w:val="0071171B"/>
    <w:rsid w:val="00721DAA"/>
    <w:rsid w:val="00725FEF"/>
    <w:rsid w:val="00726F2B"/>
    <w:rsid w:val="00726F47"/>
    <w:rsid w:val="00751EF2"/>
    <w:rsid w:val="00757DDE"/>
    <w:rsid w:val="00776220"/>
    <w:rsid w:val="00784FBC"/>
    <w:rsid w:val="00792B92"/>
    <w:rsid w:val="007B5140"/>
    <w:rsid w:val="007B5A69"/>
    <w:rsid w:val="007C1865"/>
    <w:rsid w:val="007D460A"/>
    <w:rsid w:val="00827D47"/>
    <w:rsid w:val="00837968"/>
    <w:rsid w:val="0084749C"/>
    <w:rsid w:val="00854F2F"/>
    <w:rsid w:val="008A69E1"/>
    <w:rsid w:val="008A6CC4"/>
    <w:rsid w:val="008E1FFC"/>
    <w:rsid w:val="008E28EE"/>
    <w:rsid w:val="008E6883"/>
    <w:rsid w:val="00913DF8"/>
    <w:rsid w:val="009154F9"/>
    <w:rsid w:val="00922AB5"/>
    <w:rsid w:val="00934948"/>
    <w:rsid w:val="009A1929"/>
    <w:rsid w:val="009A390F"/>
    <w:rsid w:val="009B6199"/>
    <w:rsid w:val="009C4EED"/>
    <w:rsid w:val="009D58AA"/>
    <w:rsid w:val="009E084C"/>
    <w:rsid w:val="009F44DC"/>
    <w:rsid w:val="00A37D4C"/>
    <w:rsid w:val="00A40BC1"/>
    <w:rsid w:val="00AA7B24"/>
    <w:rsid w:val="00AB6A37"/>
    <w:rsid w:val="00AC5D5B"/>
    <w:rsid w:val="00AD7903"/>
    <w:rsid w:val="00B00E71"/>
    <w:rsid w:val="00B01CB1"/>
    <w:rsid w:val="00B04900"/>
    <w:rsid w:val="00B12FE3"/>
    <w:rsid w:val="00B31026"/>
    <w:rsid w:val="00B33BFC"/>
    <w:rsid w:val="00B60A74"/>
    <w:rsid w:val="00B71A1B"/>
    <w:rsid w:val="00B72C5C"/>
    <w:rsid w:val="00B83481"/>
    <w:rsid w:val="00BD5BDB"/>
    <w:rsid w:val="00C062F6"/>
    <w:rsid w:val="00C20E8E"/>
    <w:rsid w:val="00C53812"/>
    <w:rsid w:val="00C56D84"/>
    <w:rsid w:val="00C67F88"/>
    <w:rsid w:val="00C84DE6"/>
    <w:rsid w:val="00CA241D"/>
    <w:rsid w:val="00CD5D5C"/>
    <w:rsid w:val="00CF1FBA"/>
    <w:rsid w:val="00D413AC"/>
    <w:rsid w:val="00D416B4"/>
    <w:rsid w:val="00D569C0"/>
    <w:rsid w:val="00D83EA4"/>
    <w:rsid w:val="00DA3D7F"/>
    <w:rsid w:val="00DA7F98"/>
    <w:rsid w:val="00DB5085"/>
    <w:rsid w:val="00DC4F07"/>
    <w:rsid w:val="00DF0C09"/>
    <w:rsid w:val="00E17D7E"/>
    <w:rsid w:val="00E3030D"/>
    <w:rsid w:val="00E742B2"/>
    <w:rsid w:val="00E76658"/>
    <w:rsid w:val="00EB7E82"/>
    <w:rsid w:val="00EC3625"/>
    <w:rsid w:val="00ED0998"/>
    <w:rsid w:val="00ED7B66"/>
    <w:rsid w:val="00EF3AF4"/>
    <w:rsid w:val="00F00D98"/>
    <w:rsid w:val="00F043B1"/>
    <w:rsid w:val="00F06F16"/>
    <w:rsid w:val="00F410E1"/>
    <w:rsid w:val="00F45518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5">
      <o:colormru v:ext="edit" colors="#036"/>
    </o:shapedefaults>
    <o:shapelayout v:ext="edit">
      <o:idmap v:ext="edit" data="1"/>
    </o:shapelayout>
  </w:shapeDefaults>
  <w:decimalSymbol w:val="."/>
  <w:listSeparator w:val=","/>
  <w15:docId w15:val="{8D24424F-6FE9-4F3B-B42F-52926D1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70361"/>
    <w:rPr>
      <w:sz w:val="20"/>
      <w:szCs w:val="20"/>
    </w:rPr>
  </w:style>
  <w:style w:type="paragraph" w:styleId="EnvelopeAddress">
    <w:name w:val="envelope address"/>
    <w:basedOn w:val="Normal"/>
    <w:uiPriority w:val="99"/>
    <w:rsid w:val="00370361"/>
    <w:pPr>
      <w:framePr w:w="7920" w:h="1980" w:hRule="exact" w:hSpace="180" w:wrap="auto" w:hAnchor="page" w:xAlign="center" w:yAlign="bottom"/>
      <w:ind w:left="2880"/>
    </w:pPr>
  </w:style>
  <w:style w:type="paragraph" w:customStyle="1" w:styleId="bulletpara">
    <w:name w:val="bulletpara"/>
    <w:basedOn w:val="Normal"/>
    <w:uiPriority w:val="99"/>
    <w:rsid w:val="00BD5BDB"/>
    <w:pPr>
      <w:numPr>
        <w:numId w:val="1"/>
      </w:numPr>
      <w:spacing w:after="120"/>
    </w:pPr>
    <w:rPr>
      <w:rFonts w:ascii="AGaramond" w:hAnsi="AGaramond" w:cs="AGaramond"/>
    </w:rPr>
  </w:style>
  <w:style w:type="paragraph" w:styleId="BalloonText">
    <w:name w:val="Balloon Text"/>
    <w:basedOn w:val="Normal"/>
    <w:link w:val="BalloonTextChar"/>
    <w:uiPriority w:val="99"/>
    <w:semiHidden/>
    <w:rsid w:val="0016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BE5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semiHidden/>
    <w:rsid w:val="00211BE5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10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Building Materials Association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Hartley</dc:creator>
  <cp:keywords/>
  <dc:description/>
  <cp:lastModifiedBy>Jessie Norman</cp:lastModifiedBy>
  <cp:revision>2</cp:revision>
  <cp:lastPrinted>2015-09-15T18:07:00Z</cp:lastPrinted>
  <dcterms:created xsi:type="dcterms:W3CDTF">2015-09-15T18:18:00Z</dcterms:created>
  <dcterms:modified xsi:type="dcterms:W3CDTF">2015-09-15T18:18:00Z</dcterms:modified>
</cp:coreProperties>
</file>