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8" w:rsidRDefault="00250C72" w:rsidP="00C24D8C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548640</wp:posOffset>
            </wp:positionV>
            <wp:extent cx="814070" cy="814070"/>
            <wp:effectExtent l="19050" t="0" r="5080" b="0"/>
            <wp:wrapNone/>
            <wp:docPr id="3" name="Picture 3" descr="674215512@08082006-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4215512@08082006-01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D8C">
        <w:rPr>
          <w:b/>
        </w:rPr>
        <w:tab/>
      </w:r>
      <w:r w:rsidR="00C24D8C">
        <w:rPr>
          <w:b/>
        </w:rPr>
        <w:tab/>
      </w:r>
    </w:p>
    <w:p w:rsidR="00E25B38" w:rsidRDefault="00E25B38" w:rsidP="00E25B38">
      <w:pPr>
        <w:ind w:left="720" w:firstLine="720"/>
        <w:jc w:val="both"/>
        <w:rPr>
          <w:b/>
        </w:rPr>
      </w:pPr>
    </w:p>
    <w:p w:rsidR="00C24D8C" w:rsidRDefault="00046BA7" w:rsidP="00E25B38">
      <w:pPr>
        <w:ind w:left="720" w:firstLine="720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58240" from="1in,10.7pt" to="468pt,10.7pt"/>
        </w:pict>
      </w:r>
      <w:r w:rsidR="00C24D8C">
        <w:rPr>
          <w:b/>
        </w:rPr>
        <w:t>SENATE RESEARCH OFFICE</w:t>
      </w:r>
    </w:p>
    <w:p w:rsidR="00C24D8C" w:rsidRDefault="00C24D8C" w:rsidP="00E25B38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ab/>
      </w:r>
      <w:r w:rsidR="006F4ED5">
        <w:rPr>
          <w:b/>
        </w:rPr>
        <w:t>2015</w:t>
      </w:r>
      <w:r w:rsidR="00511D71">
        <w:rPr>
          <w:b/>
        </w:rPr>
        <w:t xml:space="preserve"> Session</w:t>
      </w:r>
      <w:r w:rsidR="00E25B38">
        <w:rPr>
          <w:b/>
        </w:rPr>
        <w:tab/>
      </w:r>
      <w:r w:rsidR="003A1252">
        <w:rPr>
          <w:b/>
        </w:rPr>
        <w:t>March 13</w:t>
      </w:r>
      <w:r w:rsidR="00F976FC">
        <w:rPr>
          <w:b/>
        </w:rPr>
        <w:t>, 2015</w:t>
      </w:r>
    </w:p>
    <w:p w:rsidR="00C24D8C" w:rsidRDefault="00C24D8C" w:rsidP="00C24D8C">
      <w:pPr>
        <w:jc w:val="both"/>
        <w:rPr>
          <w:b/>
        </w:rPr>
      </w:pPr>
    </w:p>
    <w:p w:rsidR="00C24D8C" w:rsidRDefault="00C24D8C" w:rsidP="00C24D8C">
      <w:pPr>
        <w:jc w:val="both"/>
      </w:pPr>
    </w:p>
    <w:p w:rsidR="00C74AFC" w:rsidRDefault="00C74AFC" w:rsidP="00C24D8C">
      <w:pPr>
        <w:jc w:val="both"/>
      </w:pPr>
    </w:p>
    <w:tbl>
      <w:tblPr>
        <w:tblW w:w="9960" w:type="dxa"/>
        <w:tblInd w:w="-12" w:type="dxa"/>
        <w:tblLook w:val="01E0"/>
      </w:tblPr>
      <w:tblGrid>
        <w:gridCol w:w="4771"/>
        <w:gridCol w:w="5189"/>
      </w:tblGrid>
      <w:tr w:rsidR="00C24D8C" w:rsidRPr="009A19E9" w:rsidTr="00681794">
        <w:trPr>
          <w:trHeight w:val="287"/>
        </w:trPr>
        <w:tc>
          <w:tcPr>
            <w:tcW w:w="5040" w:type="dxa"/>
            <w:shd w:val="clear" w:color="auto" w:fill="auto"/>
            <w:vAlign w:val="center"/>
          </w:tcPr>
          <w:p w:rsidR="00C24D8C" w:rsidRPr="009A19E9" w:rsidRDefault="00C24D8C" w:rsidP="00470D55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Bill: </w:t>
            </w:r>
            <w:r w:rsidR="007E7976" w:rsidRPr="009A19E9">
              <w:rPr>
                <w:sz w:val="20"/>
                <w:szCs w:val="20"/>
              </w:rPr>
              <w:tab/>
            </w:r>
            <w:r w:rsidR="007E7976" w:rsidRPr="009A19E9">
              <w:rPr>
                <w:sz w:val="20"/>
                <w:szCs w:val="20"/>
              </w:rPr>
              <w:tab/>
            </w:r>
            <w:r w:rsidR="00681794">
              <w:rPr>
                <w:sz w:val="20"/>
                <w:szCs w:val="20"/>
              </w:rPr>
              <w:t>S</w:t>
            </w:r>
            <w:r w:rsidR="00F976FC">
              <w:rPr>
                <w:sz w:val="20"/>
                <w:szCs w:val="20"/>
              </w:rPr>
              <w:t>B 36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C24D8C" w:rsidRPr="009A19E9" w:rsidRDefault="00551907" w:rsidP="00470D55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Sponsor: </w:t>
            </w:r>
            <w:r w:rsidRPr="009A19E9">
              <w:rPr>
                <w:sz w:val="20"/>
                <w:szCs w:val="20"/>
              </w:rPr>
              <w:tab/>
            </w:r>
            <w:r w:rsidR="00681794">
              <w:rPr>
                <w:sz w:val="20"/>
                <w:szCs w:val="20"/>
              </w:rPr>
              <w:t xml:space="preserve">Senator </w:t>
            </w:r>
            <w:r w:rsidR="00F976FC">
              <w:rPr>
                <w:sz w:val="20"/>
                <w:szCs w:val="20"/>
              </w:rPr>
              <w:t>Ligon, Jr. of the 3</w:t>
            </w:r>
            <w:r w:rsidR="00F976FC" w:rsidRPr="00F976FC">
              <w:rPr>
                <w:sz w:val="20"/>
                <w:szCs w:val="20"/>
                <w:vertAlign w:val="superscript"/>
              </w:rPr>
              <w:t>rd</w:t>
            </w:r>
            <w:r w:rsidR="00F976FC">
              <w:rPr>
                <w:sz w:val="20"/>
                <w:szCs w:val="20"/>
              </w:rPr>
              <w:t xml:space="preserve"> and others</w:t>
            </w:r>
          </w:p>
        </w:tc>
      </w:tr>
      <w:tr w:rsidR="00551907" w:rsidRPr="009A19E9" w:rsidTr="00681794">
        <w:trPr>
          <w:trHeight w:val="275"/>
        </w:trPr>
        <w:tc>
          <w:tcPr>
            <w:tcW w:w="5040" w:type="dxa"/>
            <w:shd w:val="clear" w:color="auto" w:fill="auto"/>
            <w:vAlign w:val="center"/>
          </w:tcPr>
          <w:p w:rsidR="00551907" w:rsidRPr="009A19E9" w:rsidRDefault="00551907" w:rsidP="00470D55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Version:</w:t>
            </w:r>
            <w:r w:rsidR="004002F4" w:rsidRPr="009A19E9">
              <w:rPr>
                <w:sz w:val="20"/>
                <w:szCs w:val="20"/>
              </w:rPr>
              <w:tab/>
            </w:r>
            <w:r w:rsidR="0021501F">
              <w:rPr>
                <w:sz w:val="20"/>
                <w:szCs w:val="20"/>
              </w:rPr>
              <w:t>SB 36/CSFA/2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551907" w:rsidRPr="009A19E9" w:rsidRDefault="00551907" w:rsidP="00470D55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Amends: </w:t>
            </w:r>
            <w:r w:rsidRPr="009A19E9">
              <w:rPr>
                <w:sz w:val="20"/>
                <w:szCs w:val="20"/>
              </w:rPr>
              <w:tab/>
            </w:r>
            <w:r w:rsidR="003264CC" w:rsidRPr="009A19E9">
              <w:rPr>
                <w:sz w:val="20"/>
                <w:szCs w:val="20"/>
              </w:rPr>
              <w:t xml:space="preserve">Title </w:t>
            </w:r>
            <w:r w:rsidR="00F976FC">
              <w:rPr>
                <w:sz w:val="20"/>
                <w:szCs w:val="20"/>
              </w:rPr>
              <w:t>12</w:t>
            </w:r>
          </w:p>
        </w:tc>
      </w:tr>
      <w:tr w:rsidR="00551907" w:rsidRPr="009A19E9" w:rsidTr="00681794">
        <w:trPr>
          <w:trHeight w:val="27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21501F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Status:</w:t>
            </w:r>
            <w:r w:rsidRPr="009A19E9">
              <w:rPr>
                <w:b/>
                <w:sz w:val="20"/>
                <w:szCs w:val="20"/>
              </w:rPr>
              <w:tab/>
            </w:r>
            <w:r w:rsidRPr="009A19E9">
              <w:rPr>
                <w:sz w:val="20"/>
                <w:szCs w:val="20"/>
              </w:rPr>
              <w:tab/>
            </w:r>
            <w:r w:rsidR="003F2700">
              <w:rPr>
                <w:sz w:val="20"/>
                <w:szCs w:val="20"/>
              </w:rPr>
              <w:t xml:space="preserve">As Passed </w:t>
            </w:r>
            <w:r w:rsidR="0021501F">
              <w:rPr>
                <w:sz w:val="20"/>
                <w:szCs w:val="20"/>
              </w:rPr>
              <w:t>Senate As Amended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470D55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Committee:</w:t>
            </w:r>
            <w:r w:rsidR="004002F4" w:rsidRPr="009A19E9">
              <w:rPr>
                <w:sz w:val="20"/>
                <w:szCs w:val="20"/>
              </w:rPr>
              <w:tab/>
            </w:r>
            <w:r w:rsidR="00F976FC">
              <w:rPr>
                <w:sz w:val="20"/>
                <w:szCs w:val="20"/>
              </w:rPr>
              <w:t>Natural Resources and Environment</w:t>
            </w:r>
          </w:p>
        </w:tc>
      </w:tr>
    </w:tbl>
    <w:p w:rsidR="00EC23B6" w:rsidRPr="00745B9B" w:rsidRDefault="00EC23B6" w:rsidP="001C0BA3">
      <w:pPr>
        <w:jc w:val="both"/>
        <w:rPr>
          <w:b/>
        </w:rPr>
      </w:pPr>
    </w:p>
    <w:p w:rsidR="003264CC" w:rsidRPr="00745B9B" w:rsidRDefault="003445EE" w:rsidP="003264CC">
      <w:pPr>
        <w:jc w:val="both"/>
        <w:rPr>
          <w:b/>
        </w:rPr>
      </w:pPr>
      <w:r>
        <w:rPr>
          <w:b/>
        </w:rPr>
        <w:t>“</w:t>
      </w:r>
      <w:r w:rsidR="00780695" w:rsidRPr="00745B9B">
        <w:rPr>
          <w:b/>
        </w:rPr>
        <w:t>UNDERGROUND WATER SUPPLY PROTECTION ACT OF 2015</w:t>
      </w:r>
      <w:r>
        <w:rPr>
          <w:b/>
        </w:rPr>
        <w:t>”</w:t>
      </w:r>
    </w:p>
    <w:p w:rsidR="002659FF" w:rsidRPr="005C00B0" w:rsidRDefault="002659FF" w:rsidP="003264CC">
      <w:pPr>
        <w:jc w:val="both"/>
        <w:rPr>
          <w:sz w:val="20"/>
          <w:szCs w:val="20"/>
        </w:rPr>
      </w:pPr>
    </w:p>
    <w:p w:rsidR="003264CC" w:rsidRPr="00DC1478" w:rsidRDefault="003264CC" w:rsidP="003264CC">
      <w:pPr>
        <w:jc w:val="both"/>
        <w:rPr>
          <w:b/>
          <w:szCs w:val="20"/>
          <w:u w:val="single"/>
        </w:rPr>
      </w:pPr>
      <w:r w:rsidRPr="00DC1478">
        <w:rPr>
          <w:b/>
          <w:szCs w:val="20"/>
          <w:u w:val="single"/>
        </w:rPr>
        <w:t>SUMMARY</w:t>
      </w:r>
    </w:p>
    <w:p w:rsidR="003264CC" w:rsidRPr="00DC1478" w:rsidRDefault="00DC1478" w:rsidP="00FA7104">
      <w:pPr>
        <w:numPr>
          <w:ilvl w:val="0"/>
          <w:numId w:val="13"/>
        </w:numPr>
        <w:jc w:val="both"/>
        <w:rPr>
          <w:szCs w:val="20"/>
        </w:rPr>
      </w:pPr>
      <w:r w:rsidRPr="00DC1478">
        <w:rPr>
          <w:szCs w:val="20"/>
        </w:rPr>
        <w:t>Requires the Board of Natural Resources to adopt rules and regulations whic</w:t>
      </w:r>
      <w:r w:rsidR="00CC1C63">
        <w:rPr>
          <w:szCs w:val="20"/>
        </w:rPr>
        <w:t>h protect and preserve the Floridan aquifer,</w:t>
      </w:r>
      <w:r w:rsidRPr="00DC1478">
        <w:rPr>
          <w:szCs w:val="20"/>
        </w:rPr>
        <w:t xml:space="preserve"> including any restrictions or prohibitions on aquifer storage and recovery where necessary.</w:t>
      </w:r>
    </w:p>
    <w:p w:rsidR="002659FF" w:rsidRPr="00DC1478" w:rsidRDefault="002659FF" w:rsidP="003264CC">
      <w:pPr>
        <w:jc w:val="both"/>
        <w:rPr>
          <w:szCs w:val="20"/>
        </w:rPr>
      </w:pPr>
    </w:p>
    <w:p w:rsidR="003264CC" w:rsidRPr="00DC1478" w:rsidRDefault="003264CC" w:rsidP="003264CC">
      <w:pPr>
        <w:jc w:val="both"/>
        <w:rPr>
          <w:b/>
          <w:szCs w:val="20"/>
          <w:u w:val="single"/>
        </w:rPr>
      </w:pPr>
      <w:r w:rsidRPr="00DC1478">
        <w:rPr>
          <w:b/>
          <w:szCs w:val="20"/>
          <w:u w:val="single"/>
        </w:rPr>
        <w:t>ANALYSIS</w:t>
      </w:r>
    </w:p>
    <w:p w:rsidR="00A12D38" w:rsidRPr="00DC1478" w:rsidRDefault="00745B9B" w:rsidP="003264CC">
      <w:pPr>
        <w:jc w:val="both"/>
        <w:rPr>
          <w:szCs w:val="20"/>
        </w:rPr>
      </w:pPr>
      <w:r w:rsidRPr="00DC1478">
        <w:rPr>
          <w:szCs w:val="20"/>
        </w:rPr>
        <w:t>Current law places a moratorium on the use of wells or boreholes for the purpose of injecting surface water into the Floridan aquifer in any county governed by the Georgia coastal zone management program</w:t>
      </w:r>
      <w:r w:rsidR="00262191" w:rsidRPr="00DC1478">
        <w:rPr>
          <w:szCs w:val="20"/>
        </w:rPr>
        <w:t>;</w:t>
      </w:r>
      <w:r w:rsidRPr="00DC1478">
        <w:rPr>
          <w:rStyle w:val="FootnoteReference"/>
          <w:szCs w:val="20"/>
        </w:rPr>
        <w:footnoteReference w:id="1"/>
      </w:r>
      <w:r w:rsidRPr="00DC1478">
        <w:rPr>
          <w:szCs w:val="20"/>
        </w:rPr>
        <w:t xml:space="preserve"> however, this moratorium expired on July 1, 2014. </w:t>
      </w:r>
    </w:p>
    <w:p w:rsidR="00A12D38" w:rsidRPr="00DC1478" w:rsidRDefault="00A12D38" w:rsidP="003264CC">
      <w:pPr>
        <w:jc w:val="both"/>
        <w:rPr>
          <w:szCs w:val="20"/>
        </w:rPr>
      </w:pPr>
    </w:p>
    <w:p w:rsidR="003264CC" w:rsidRPr="00DC1478" w:rsidRDefault="00442234" w:rsidP="003264CC">
      <w:pPr>
        <w:jc w:val="both"/>
        <w:rPr>
          <w:szCs w:val="20"/>
        </w:rPr>
      </w:pPr>
      <w:r w:rsidRPr="00DC1478">
        <w:rPr>
          <w:szCs w:val="20"/>
        </w:rPr>
        <w:t xml:space="preserve">This </w:t>
      </w:r>
      <w:r w:rsidR="00A12D38" w:rsidRPr="00DC1478">
        <w:rPr>
          <w:szCs w:val="20"/>
        </w:rPr>
        <w:t xml:space="preserve">bill </w:t>
      </w:r>
      <w:r w:rsidR="00DC1478" w:rsidRPr="00DC1478">
        <w:rPr>
          <w:szCs w:val="20"/>
        </w:rPr>
        <w:t>requires the Board of Natural Resources, on or before July 1, 2016, to ado</w:t>
      </w:r>
      <w:r w:rsidR="00CC1C63">
        <w:rPr>
          <w:szCs w:val="20"/>
        </w:rPr>
        <w:t xml:space="preserve">pt regulations that provide for the protection and preservation of the Floridan aquifer. </w:t>
      </w:r>
      <w:r w:rsidR="00DC1478" w:rsidRPr="00DC1478">
        <w:rPr>
          <w:szCs w:val="20"/>
        </w:rPr>
        <w:t>These regulations must include restrictions or prohibitions on aquifer storage and recovery where necessary to preserve the physical and chemical in</w:t>
      </w:r>
      <w:r w:rsidR="00CC1C63">
        <w:rPr>
          <w:szCs w:val="20"/>
        </w:rPr>
        <w:t>tegrity of the Floridan aquifer</w:t>
      </w:r>
      <w:r w:rsidR="00DC1478" w:rsidRPr="00DC1478">
        <w:rPr>
          <w:szCs w:val="20"/>
        </w:rPr>
        <w:t xml:space="preserve">. </w:t>
      </w: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6902D3" w:rsidRDefault="006902D3" w:rsidP="003264CC">
      <w:pPr>
        <w:jc w:val="both"/>
        <w:rPr>
          <w:sz w:val="20"/>
          <w:szCs w:val="20"/>
        </w:rPr>
      </w:pPr>
    </w:p>
    <w:p w:rsidR="003264CC" w:rsidRDefault="003264CC" w:rsidP="001C0BA3">
      <w:pPr>
        <w:jc w:val="both"/>
        <w:rPr>
          <w:sz w:val="20"/>
          <w:szCs w:val="20"/>
        </w:rPr>
      </w:pPr>
    </w:p>
    <w:p w:rsidR="003264CC" w:rsidRDefault="003264CC" w:rsidP="001C0BA3">
      <w:pPr>
        <w:jc w:val="both"/>
        <w:rPr>
          <w:sz w:val="20"/>
          <w:szCs w:val="20"/>
        </w:rPr>
      </w:pPr>
    </w:p>
    <w:p w:rsidR="003264CC" w:rsidRDefault="003264CC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Pr="000C5887" w:rsidRDefault="003264CC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Analyst:</w:t>
      </w:r>
      <w:r>
        <w:rPr>
          <w:b/>
          <w:sz w:val="16"/>
          <w:szCs w:val="16"/>
        </w:rPr>
        <w:tab/>
      </w:r>
      <w:r w:rsidR="00BF7248">
        <w:rPr>
          <w:b/>
          <w:sz w:val="16"/>
          <w:szCs w:val="16"/>
        </w:rPr>
        <w:tab/>
      </w:r>
      <w:r w:rsidR="00DC1478">
        <w:rPr>
          <w:b/>
          <w:sz w:val="16"/>
          <w:szCs w:val="16"/>
        </w:rPr>
        <w:t>Angie Fiese</w:t>
      </w:r>
      <w:r w:rsidR="00BF7248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  <w:r w:rsidR="000C5887">
        <w:rPr>
          <w:b/>
          <w:sz w:val="16"/>
          <w:szCs w:val="16"/>
        </w:rPr>
        <w:tab/>
      </w:r>
    </w:p>
    <w:sectPr w:rsidR="000C5887" w:rsidRPr="000C5887" w:rsidSect="00C74AFC">
      <w:footerReference w:type="even" r:id="rId9"/>
      <w:footerReference w:type="default" r:id="rId10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78" w:rsidRDefault="00E76178">
      <w:r>
        <w:separator/>
      </w:r>
    </w:p>
  </w:endnote>
  <w:endnote w:type="continuationSeparator" w:id="0">
    <w:p w:rsidR="00E76178" w:rsidRDefault="00E7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D3" w:rsidRDefault="006902D3" w:rsidP="0051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2D3" w:rsidRDefault="00690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D3" w:rsidRDefault="006902D3" w:rsidP="00696219">
    <w:pPr>
      <w:pStyle w:val="Footer"/>
      <w:jc w:val="center"/>
    </w:pPr>
    <w:r w:rsidRPr="00696219">
      <w:rPr>
        <w:rStyle w:val="PageNumber"/>
        <w:b/>
        <w:sz w:val="16"/>
        <w:szCs w:val="16"/>
      </w:rPr>
      <w:t xml:space="preserve">Page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PAGE </w:instrText>
    </w:r>
    <w:r>
      <w:rPr>
        <w:rStyle w:val="PageNumber"/>
        <w:b/>
        <w:sz w:val="16"/>
        <w:szCs w:val="16"/>
      </w:rPr>
      <w:fldChar w:fldCharType="separate"/>
    </w:r>
    <w:r w:rsidR="00250C72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  <w:r w:rsidRPr="00696219">
      <w:rPr>
        <w:rStyle w:val="PageNumber"/>
        <w:b/>
        <w:sz w:val="16"/>
        <w:szCs w:val="16"/>
      </w:rPr>
      <w:t xml:space="preserve"> of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NUMPAGES </w:instrText>
    </w:r>
    <w:r>
      <w:rPr>
        <w:rStyle w:val="PageNumber"/>
        <w:b/>
        <w:sz w:val="16"/>
        <w:szCs w:val="16"/>
      </w:rPr>
      <w:fldChar w:fldCharType="separate"/>
    </w:r>
    <w:r w:rsidR="00250C72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78" w:rsidRDefault="00E76178">
      <w:r>
        <w:separator/>
      </w:r>
    </w:p>
  </w:footnote>
  <w:footnote w:type="continuationSeparator" w:id="0">
    <w:p w:rsidR="00E76178" w:rsidRDefault="00E76178">
      <w:r>
        <w:continuationSeparator/>
      </w:r>
    </w:p>
  </w:footnote>
  <w:footnote w:id="1">
    <w:p w:rsidR="00745B9B" w:rsidRDefault="00745B9B" w:rsidP="0005309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7C0009">
        <w:t>According to the Georgia Environmental Protection Division’s website, t</w:t>
      </w:r>
      <w:r w:rsidRPr="00745B9B">
        <w:t>he Georgia Coastal Management Program includes the following eleven counties:  Brantley, Bryan, Camden, Charlton, Chatham, Effingham, Glynn, Liberty, Long, McIntosh, and Wayne.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D80"/>
    <w:multiLevelType w:val="hybridMultilevel"/>
    <w:tmpl w:val="B81CA0A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D480A"/>
    <w:multiLevelType w:val="hybridMultilevel"/>
    <w:tmpl w:val="B33215E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92185"/>
    <w:multiLevelType w:val="hybridMultilevel"/>
    <w:tmpl w:val="3814E3F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82C2B"/>
    <w:multiLevelType w:val="hybridMultilevel"/>
    <w:tmpl w:val="8DAC7F04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613AB"/>
    <w:multiLevelType w:val="hybridMultilevel"/>
    <w:tmpl w:val="B4C6BCE8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D0918"/>
    <w:multiLevelType w:val="hybridMultilevel"/>
    <w:tmpl w:val="56461DB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6">
    <w:nsid w:val="39D72824"/>
    <w:multiLevelType w:val="hybridMultilevel"/>
    <w:tmpl w:val="9B14F47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809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7358F"/>
    <w:multiLevelType w:val="hybridMultilevel"/>
    <w:tmpl w:val="C5284320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936B9E"/>
    <w:multiLevelType w:val="hybridMultilevel"/>
    <w:tmpl w:val="08527ED6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C34AC"/>
    <w:multiLevelType w:val="hybridMultilevel"/>
    <w:tmpl w:val="F604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802AB"/>
    <w:multiLevelType w:val="hybridMultilevel"/>
    <w:tmpl w:val="FB16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0273E"/>
    <w:multiLevelType w:val="hybridMultilevel"/>
    <w:tmpl w:val="3FE0DEDE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>
    <w:nsid w:val="77F53ACB"/>
    <w:multiLevelType w:val="hybridMultilevel"/>
    <w:tmpl w:val="DE54B5FC"/>
    <w:lvl w:ilvl="0" w:tplc="0540B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D8C"/>
    <w:rsid w:val="000160E2"/>
    <w:rsid w:val="00034795"/>
    <w:rsid w:val="00046BA7"/>
    <w:rsid w:val="00053090"/>
    <w:rsid w:val="00094983"/>
    <w:rsid w:val="000B4F68"/>
    <w:rsid w:val="000C54D4"/>
    <w:rsid w:val="000C5887"/>
    <w:rsid w:val="000F4BC7"/>
    <w:rsid w:val="000F69AF"/>
    <w:rsid w:val="0011799B"/>
    <w:rsid w:val="0016598B"/>
    <w:rsid w:val="00170BEE"/>
    <w:rsid w:val="001C0BA3"/>
    <w:rsid w:val="0021501F"/>
    <w:rsid w:val="002179A3"/>
    <w:rsid w:val="00250C72"/>
    <w:rsid w:val="00262191"/>
    <w:rsid w:val="002659FF"/>
    <w:rsid w:val="00271763"/>
    <w:rsid w:val="002A79B7"/>
    <w:rsid w:val="00320062"/>
    <w:rsid w:val="00321E6F"/>
    <w:rsid w:val="003264CC"/>
    <w:rsid w:val="003445EE"/>
    <w:rsid w:val="00385701"/>
    <w:rsid w:val="00385EE2"/>
    <w:rsid w:val="003A1252"/>
    <w:rsid w:val="003D020C"/>
    <w:rsid w:val="003D710E"/>
    <w:rsid w:val="003E1503"/>
    <w:rsid w:val="003F2700"/>
    <w:rsid w:val="004002F4"/>
    <w:rsid w:val="00442234"/>
    <w:rsid w:val="00450249"/>
    <w:rsid w:val="00470D55"/>
    <w:rsid w:val="00473C7C"/>
    <w:rsid w:val="004B0889"/>
    <w:rsid w:val="004B79F4"/>
    <w:rsid w:val="00511D71"/>
    <w:rsid w:val="00551907"/>
    <w:rsid w:val="00557317"/>
    <w:rsid w:val="0056130E"/>
    <w:rsid w:val="005724D5"/>
    <w:rsid w:val="005812AC"/>
    <w:rsid w:val="005A3DA1"/>
    <w:rsid w:val="005C00B0"/>
    <w:rsid w:val="005D3973"/>
    <w:rsid w:val="005D755F"/>
    <w:rsid w:val="00601AE1"/>
    <w:rsid w:val="00681794"/>
    <w:rsid w:val="006902D3"/>
    <w:rsid w:val="00696219"/>
    <w:rsid w:val="006B629B"/>
    <w:rsid w:val="006D5F88"/>
    <w:rsid w:val="006E5576"/>
    <w:rsid w:val="006F4ED5"/>
    <w:rsid w:val="00745B9B"/>
    <w:rsid w:val="00776141"/>
    <w:rsid w:val="00780695"/>
    <w:rsid w:val="007C0009"/>
    <w:rsid w:val="007C72DE"/>
    <w:rsid w:val="007E1EC8"/>
    <w:rsid w:val="007E7976"/>
    <w:rsid w:val="0080329E"/>
    <w:rsid w:val="0087341D"/>
    <w:rsid w:val="008B217D"/>
    <w:rsid w:val="00970EB1"/>
    <w:rsid w:val="00975267"/>
    <w:rsid w:val="009A19E9"/>
    <w:rsid w:val="009C142F"/>
    <w:rsid w:val="009F688F"/>
    <w:rsid w:val="00A0055E"/>
    <w:rsid w:val="00A12D38"/>
    <w:rsid w:val="00A228EB"/>
    <w:rsid w:val="00A35E7D"/>
    <w:rsid w:val="00A47606"/>
    <w:rsid w:val="00A759A7"/>
    <w:rsid w:val="00AA3185"/>
    <w:rsid w:val="00AF48C9"/>
    <w:rsid w:val="00B03516"/>
    <w:rsid w:val="00B332A6"/>
    <w:rsid w:val="00BB0059"/>
    <w:rsid w:val="00BB2AF7"/>
    <w:rsid w:val="00BF7248"/>
    <w:rsid w:val="00C24D8C"/>
    <w:rsid w:val="00C32459"/>
    <w:rsid w:val="00C34697"/>
    <w:rsid w:val="00C5391E"/>
    <w:rsid w:val="00C74AFC"/>
    <w:rsid w:val="00CC1C63"/>
    <w:rsid w:val="00CE548F"/>
    <w:rsid w:val="00D26F03"/>
    <w:rsid w:val="00D62E81"/>
    <w:rsid w:val="00D91A60"/>
    <w:rsid w:val="00DC1478"/>
    <w:rsid w:val="00DE6083"/>
    <w:rsid w:val="00E240BE"/>
    <w:rsid w:val="00E25B38"/>
    <w:rsid w:val="00E278DD"/>
    <w:rsid w:val="00E55689"/>
    <w:rsid w:val="00E66DAC"/>
    <w:rsid w:val="00E74381"/>
    <w:rsid w:val="00E76178"/>
    <w:rsid w:val="00E81102"/>
    <w:rsid w:val="00E83F28"/>
    <w:rsid w:val="00EC23B6"/>
    <w:rsid w:val="00EF1F6C"/>
    <w:rsid w:val="00F53860"/>
    <w:rsid w:val="00F80ACE"/>
    <w:rsid w:val="00F976FC"/>
    <w:rsid w:val="00FA59E6"/>
    <w:rsid w:val="00FA7104"/>
    <w:rsid w:val="00FB73F2"/>
    <w:rsid w:val="00FD355F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745B9B"/>
    <w:rPr>
      <w:sz w:val="20"/>
      <w:szCs w:val="20"/>
    </w:rPr>
  </w:style>
  <w:style w:type="character" w:customStyle="1" w:styleId="FootnoteTextChar">
    <w:name w:val="Footnote Text Char"/>
    <w:link w:val="FootnoteText"/>
    <w:rsid w:val="00745B9B"/>
    <w:rPr>
      <w:rFonts w:ascii="Arial" w:hAnsi="Arial" w:cs="Arial"/>
    </w:rPr>
  </w:style>
  <w:style w:type="character" w:styleId="FootnoteReference">
    <w:name w:val="footnote reference"/>
    <w:rsid w:val="00745B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9A69-90DB-4D3E-9911-6D9094D6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emily.fisher</dc:creator>
  <cp:lastModifiedBy>jtouchton</cp:lastModifiedBy>
  <cp:revision>2</cp:revision>
  <cp:lastPrinted>2015-03-04T17:57:00Z</cp:lastPrinted>
  <dcterms:created xsi:type="dcterms:W3CDTF">2015-03-16T14:28:00Z</dcterms:created>
  <dcterms:modified xsi:type="dcterms:W3CDTF">2015-03-16T14:28:00Z</dcterms:modified>
</cp:coreProperties>
</file>