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B38" w:rsidRDefault="00EB0351" w:rsidP="00C24D8C">
      <w:pPr>
        <w:jc w:val="both"/>
        <w:rPr>
          <w:b/>
        </w:rPr>
      </w:pPr>
      <w:r>
        <w:rPr>
          <w:b/>
          <w:noProof/>
        </w:rPr>
        <w:drawing>
          <wp:anchor distT="0" distB="0" distL="0" distR="0" simplePos="0" relativeHeight="251657216" behindDoc="0" locked="0" layoutInCell="1" allowOverlap="0">
            <wp:simplePos x="0" y="0"/>
            <wp:positionH relativeFrom="column">
              <wp:posOffset>0</wp:posOffset>
            </wp:positionH>
            <wp:positionV relativeFrom="page">
              <wp:posOffset>548640</wp:posOffset>
            </wp:positionV>
            <wp:extent cx="814070" cy="814070"/>
            <wp:effectExtent l="0" t="0" r="5080" b="5080"/>
            <wp:wrapNone/>
            <wp:docPr id="3" name="Picture 3" descr="674215512@08082006-0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74215512@08082006-019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4070" cy="814070"/>
                    </a:xfrm>
                    <a:prstGeom prst="rect">
                      <a:avLst/>
                    </a:prstGeom>
                    <a:noFill/>
                    <a:ln>
                      <a:noFill/>
                    </a:ln>
                  </pic:spPr>
                </pic:pic>
              </a:graphicData>
            </a:graphic>
            <wp14:sizeRelH relativeFrom="page">
              <wp14:pctWidth>0</wp14:pctWidth>
            </wp14:sizeRelH>
            <wp14:sizeRelV relativeFrom="page">
              <wp14:pctHeight>0</wp14:pctHeight>
            </wp14:sizeRelV>
          </wp:anchor>
        </w:drawing>
      </w:r>
      <w:r w:rsidR="00C24D8C">
        <w:rPr>
          <w:b/>
        </w:rPr>
        <w:tab/>
      </w:r>
      <w:r w:rsidR="00C24D8C">
        <w:rPr>
          <w:b/>
        </w:rPr>
        <w:tab/>
      </w:r>
    </w:p>
    <w:p w:rsidR="00E25B38" w:rsidRDefault="00E25B38" w:rsidP="00E25B38">
      <w:pPr>
        <w:ind w:left="720" w:firstLine="720"/>
        <w:jc w:val="both"/>
        <w:rPr>
          <w:b/>
        </w:rPr>
      </w:pPr>
    </w:p>
    <w:p w:rsidR="00C24D8C" w:rsidRDefault="00EB0351" w:rsidP="00E25B38">
      <w:pPr>
        <w:ind w:left="720" w:firstLine="720"/>
        <w:jc w:val="both"/>
        <w:rPr>
          <w:b/>
        </w:rPr>
      </w:pPr>
      <w:r>
        <w:rPr>
          <w:b/>
          <w:noProof/>
        </w:rPr>
        <mc:AlternateContent>
          <mc:Choice Requires="wps">
            <w:drawing>
              <wp:anchor distT="0" distB="0" distL="114300" distR="114300" simplePos="0" relativeHeight="251658240" behindDoc="0" locked="0" layoutInCell="1" allowOverlap="1">
                <wp:simplePos x="0" y="0"/>
                <wp:positionH relativeFrom="column">
                  <wp:posOffset>914400</wp:posOffset>
                </wp:positionH>
                <wp:positionV relativeFrom="paragraph">
                  <wp:posOffset>135890</wp:posOffset>
                </wp:positionV>
                <wp:extent cx="5029200" cy="0"/>
                <wp:effectExtent l="9525" t="12065" r="9525" b="6985"/>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7pt" to="46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9KY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"/>
            </w:pict>
          </mc:Fallback>
        </mc:AlternateContent>
      </w:r>
      <w:r w:rsidR="00C24D8C">
        <w:rPr>
          <w:b/>
        </w:rPr>
        <w:t>SENATE RESEARCH OFFICE</w:t>
      </w:r>
    </w:p>
    <w:p w:rsidR="00C24D8C" w:rsidRDefault="00C24D8C" w:rsidP="00E25B38">
      <w:pPr>
        <w:tabs>
          <w:tab w:val="left" w:pos="1440"/>
          <w:tab w:val="right" w:pos="9360"/>
        </w:tabs>
        <w:rPr>
          <w:b/>
        </w:rPr>
      </w:pPr>
      <w:r>
        <w:rPr>
          <w:b/>
        </w:rPr>
        <w:tab/>
      </w:r>
      <w:r w:rsidR="006F4ED5">
        <w:rPr>
          <w:b/>
        </w:rPr>
        <w:t>2015</w:t>
      </w:r>
      <w:r w:rsidR="00511D71">
        <w:rPr>
          <w:b/>
        </w:rPr>
        <w:t xml:space="preserve"> Session</w:t>
      </w:r>
      <w:r w:rsidR="00E25B38">
        <w:rPr>
          <w:b/>
        </w:rPr>
        <w:tab/>
      </w:r>
      <w:r w:rsidR="00E36CE5">
        <w:rPr>
          <w:b/>
        </w:rPr>
        <w:t>April 2</w:t>
      </w:r>
      <w:r w:rsidR="00095A0A">
        <w:rPr>
          <w:b/>
        </w:rPr>
        <w:t>, 2015</w:t>
      </w:r>
    </w:p>
    <w:p w:rsidR="00C24D8C" w:rsidRDefault="00C24D8C" w:rsidP="00C24D8C">
      <w:pPr>
        <w:jc w:val="both"/>
        <w:rPr>
          <w:b/>
        </w:rPr>
      </w:pPr>
    </w:p>
    <w:p w:rsidR="00C24D8C" w:rsidRDefault="00C24D8C" w:rsidP="00C24D8C">
      <w:pPr>
        <w:jc w:val="both"/>
      </w:pPr>
    </w:p>
    <w:p w:rsidR="00C74AFC" w:rsidRDefault="00C74AFC" w:rsidP="00C24D8C">
      <w:pPr>
        <w:jc w:val="both"/>
      </w:pPr>
    </w:p>
    <w:tbl>
      <w:tblPr>
        <w:tblW w:w="9960" w:type="dxa"/>
        <w:tblInd w:w="-12" w:type="dxa"/>
        <w:tblLook w:val="01E0" w:firstRow="1" w:lastRow="1" w:firstColumn="1" w:lastColumn="1" w:noHBand="0" w:noVBand="0"/>
      </w:tblPr>
      <w:tblGrid>
        <w:gridCol w:w="4756"/>
        <w:gridCol w:w="5204"/>
      </w:tblGrid>
      <w:tr w:rsidR="00C24D8C" w:rsidRPr="009A19E9" w:rsidTr="00681794">
        <w:trPr>
          <w:trHeight w:val="287"/>
        </w:trPr>
        <w:tc>
          <w:tcPr>
            <w:tcW w:w="5040" w:type="dxa"/>
            <w:shd w:val="clear" w:color="auto" w:fill="auto"/>
            <w:vAlign w:val="center"/>
          </w:tcPr>
          <w:p w:rsidR="00C24D8C" w:rsidRPr="009A19E9" w:rsidRDefault="00C24D8C" w:rsidP="00470D55">
            <w:pPr>
              <w:rPr>
                <w:sz w:val="20"/>
                <w:szCs w:val="20"/>
              </w:rPr>
            </w:pPr>
            <w:r w:rsidRPr="009A19E9">
              <w:rPr>
                <w:b/>
                <w:sz w:val="20"/>
                <w:szCs w:val="20"/>
              </w:rPr>
              <w:t xml:space="preserve">Bill: </w:t>
            </w:r>
            <w:r w:rsidR="007E7976" w:rsidRPr="009A19E9">
              <w:rPr>
                <w:sz w:val="20"/>
                <w:szCs w:val="20"/>
              </w:rPr>
              <w:tab/>
            </w:r>
            <w:r w:rsidR="007E7976" w:rsidRPr="009A19E9">
              <w:rPr>
                <w:sz w:val="20"/>
                <w:szCs w:val="20"/>
              </w:rPr>
              <w:tab/>
            </w:r>
            <w:r w:rsidR="008060EC">
              <w:rPr>
                <w:sz w:val="20"/>
                <w:szCs w:val="20"/>
              </w:rPr>
              <w:t>HB 106</w:t>
            </w:r>
          </w:p>
        </w:tc>
        <w:tc>
          <w:tcPr>
            <w:tcW w:w="5472" w:type="dxa"/>
            <w:shd w:val="clear" w:color="auto" w:fill="auto"/>
            <w:vAlign w:val="center"/>
          </w:tcPr>
          <w:p w:rsidR="00C24D8C" w:rsidRPr="009A19E9" w:rsidRDefault="00551907" w:rsidP="008060EC">
            <w:pPr>
              <w:rPr>
                <w:sz w:val="20"/>
                <w:szCs w:val="20"/>
              </w:rPr>
            </w:pPr>
            <w:r w:rsidRPr="009A19E9">
              <w:rPr>
                <w:b/>
                <w:sz w:val="20"/>
                <w:szCs w:val="20"/>
              </w:rPr>
              <w:t xml:space="preserve">Sponsor: </w:t>
            </w:r>
            <w:r w:rsidRPr="009A19E9">
              <w:rPr>
                <w:sz w:val="20"/>
                <w:szCs w:val="20"/>
              </w:rPr>
              <w:tab/>
            </w:r>
            <w:r w:rsidR="008060EC">
              <w:rPr>
                <w:sz w:val="20"/>
                <w:szCs w:val="20"/>
              </w:rPr>
              <w:t>Representative Roberts of the 155</w:t>
            </w:r>
            <w:r w:rsidR="008060EC" w:rsidRPr="008060EC">
              <w:rPr>
                <w:sz w:val="20"/>
                <w:szCs w:val="20"/>
                <w:vertAlign w:val="superscript"/>
              </w:rPr>
              <w:t>th</w:t>
            </w:r>
            <w:r w:rsidR="008060EC">
              <w:rPr>
                <w:sz w:val="20"/>
                <w:szCs w:val="20"/>
              </w:rPr>
              <w:t xml:space="preserve"> </w:t>
            </w:r>
            <w:r w:rsidR="00570999">
              <w:rPr>
                <w:sz w:val="20"/>
                <w:szCs w:val="20"/>
              </w:rPr>
              <w:t xml:space="preserve"> </w:t>
            </w:r>
          </w:p>
        </w:tc>
      </w:tr>
      <w:tr w:rsidR="00551907" w:rsidRPr="009A19E9" w:rsidTr="00681794">
        <w:trPr>
          <w:trHeight w:val="275"/>
        </w:trPr>
        <w:tc>
          <w:tcPr>
            <w:tcW w:w="5040" w:type="dxa"/>
            <w:shd w:val="clear" w:color="auto" w:fill="auto"/>
            <w:vAlign w:val="center"/>
          </w:tcPr>
          <w:p w:rsidR="00551907" w:rsidRPr="009A19E9" w:rsidRDefault="00551907" w:rsidP="008060EC">
            <w:pPr>
              <w:rPr>
                <w:sz w:val="20"/>
                <w:szCs w:val="20"/>
              </w:rPr>
            </w:pPr>
            <w:r w:rsidRPr="009A19E9">
              <w:rPr>
                <w:b/>
                <w:sz w:val="20"/>
                <w:szCs w:val="20"/>
              </w:rPr>
              <w:t>Version:</w:t>
            </w:r>
            <w:r w:rsidR="004002F4" w:rsidRPr="009A19E9">
              <w:rPr>
                <w:sz w:val="20"/>
                <w:szCs w:val="20"/>
              </w:rPr>
              <w:tab/>
            </w:r>
            <w:r w:rsidR="007E2A00" w:rsidRPr="007E2A00">
              <w:rPr>
                <w:sz w:val="20"/>
                <w:szCs w:val="20"/>
              </w:rPr>
              <w:t>HB 106/SCSFA/2</w:t>
            </w:r>
          </w:p>
        </w:tc>
        <w:tc>
          <w:tcPr>
            <w:tcW w:w="5472" w:type="dxa"/>
            <w:shd w:val="clear" w:color="auto" w:fill="auto"/>
            <w:vAlign w:val="center"/>
          </w:tcPr>
          <w:p w:rsidR="00551907" w:rsidRPr="009A19E9" w:rsidRDefault="00551907" w:rsidP="008B46B3">
            <w:pPr>
              <w:rPr>
                <w:sz w:val="20"/>
                <w:szCs w:val="20"/>
              </w:rPr>
            </w:pPr>
            <w:r w:rsidRPr="009A19E9">
              <w:rPr>
                <w:b/>
                <w:sz w:val="20"/>
                <w:szCs w:val="20"/>
              </w:rPr>
              <w:t xml:space="preserve">Amends: </w:t>
            </w:r>
            <w:r w:rsidRPr="009A19E9">
              <w:rPr>
                <w:sz w:val="20"/>
                <w:szCs w:val="20"/>
              </w:rPr>
              <w:tab/>
            </w:r>
            <w:r w:rsidR="003264CC" w:rsidRPr="009A19E9">
              <w:rPr>
                <w:sz w:val="20"/>
                <w:szCs w:val="20"/>
              </w:rPr>
              <w:t>Title</w:t>
            </w:r>
            <w:r w:rsidR="008B46B3">
              <w:rPr>
                <w:sz w:val="20"/>
                <w:szCs w:val="20"/>
              </w:rPr>
              <w:t xml:space="preserve"> </w:t>
            </w:r>
            <w:r w:rsidR="00292B8A">
              <w:rPr>
                <w:sz w:val="20"/>
                <w:szCs w:val="20"/>
              </w:rPr>
              <w:t>48</w:t>
            </w:r>
          </w:p>
        </w:tc>
      </w:tr>
      <w:tr w:rsidR="00551907" w:rsidRPr="009A19E9" w:rsidTr="00681794">
        <w:trPr>
          <w:trHeight w:val="275"/>
        </w:trPr>
        <w:tc>
          <w:tcPr>
            <w:tcW w:w="5040" w:type="dxa"/>
            <w:tcBorders>
              <w:bottom w:val="single" w:sz="4" w:space="0" w:color="auto"/>
            </w:tcBorders>
            <w:shd w:val="clear" w:color="auto" w:fill="auto"/>
            <w:vAlign w:val="center"/>
          </w:tcPr>
          <w:p w:rsidR="00551907" w:rsidRPr="009A19E9" w:rsidRDefault="00551907" w:rsidP="00E36CE5">
            <w:pPr>
              <w:rPr>
                <w:sz w:val="20"/>
                <w:szCs w:val="20"/>
              </w:rPr>
            </w:pPr>
            <w:r w:rsidRPr="009A19E9">
              <w:rPr>
                <w:b/>
                <w:sz w:val="20"/>
                <w:szCs w:val="20"/>
              </w:rPr>
              <w:t>Status:</w:t>
            </w:r>
            <w:r w:rsidRPr="009A19E9">
              <w:rPr>
                <w:b/>
                <w:sz w:val="20"/>
                <w:szCs w:val="20"/>
              </w:rPr>
              <w:tab/>
            </w:r>
            <w:r w:rsidRPr="009A19E9">
              <w:rPr>
                <w:sz w:val="20"/>
                <w:szCs w:val="20"/>
              </w:rPr>
              <w:tab/>
            </w:r>
            <w:r w:rsidR="005E667C">
              <w:rPr>
                <w:sz w:val="20"/>
                <w:szCs w:val="20"/>
              </w:rPr>
              <w:t xml:space="preserve">As Passed </w:t>
            </w:r>
          </w:p>
        </w:tc>
        <w:tc>
          <w:tcPr>
            <w:tcW w:w="5472" w:type="dxa"/>
            <w:tcBorders>
              <w:bottom w:val="single" w:sz="4" w:space="0" w:color="auto"/>
            </w:tcBorders>
            <w:shd w:val="clear" w:color="auto" w:fill="auto"/>
            <w:vAlign w:val="center"/>
          </w:tcPr>
          <w:p w:rsidR="00551907" w:rsidRPr="009A19E9" w:rsidRDefault="00551907" w:rsidP="00470D55">
            <w:pPr>
              <w:rPr>
                <w:sz w:val="20"/>
                <w:szCs w:val="20"/>
              </w:rPr>
            </w:pPr>
            <w:r w:rsidRPr="009A19E9">
              <w:rPr>
                <w:b/>
                <w:sz w:val="20"/>
                <w:szCs w:val="20"/>
              </w:rPr>
              <w:t>Committee:</w:t>
            </w:r>
            <w:r w:rsidR="004002F4" w:rsidRPr="009A19E9">
              <w:rPr>
                <w:sz w:val="20"/>
                <w:szCs w:val="20"/>
              </w:rPr>
              <w:tab/>
            </w:r>
            <w:r w:rsidR="00570999">
              <w:rPr>
                <w:sz w:val="20"/>
                <w:szCs w:val="20"/>
              </w:rPr>
              <w:t>Transportation</w:t>
            </w:r>
          </w:p>
        </w:tc>
      </w:tr>
    </w:tbl>
    <w:p w:rsidR="00EC23B6" w:rsidRDefault="00EC23B6" w:rsidP="001C0BA3">
      <w:pPr>
        <w:jc w:val="both"/>
        <w:rPr>
          <w:b/>
          <w:sz w:val="20"/>
          <w:szCs w:val="20"/>
        </w:rPr>
      </w:pPr>
    </w:p>
    <w:p w:rsidR="003264CC" w:rsidRPr="00DE1ACA" w:rsidRDefault="00025E9F" w:rsidP="003264CC">
      <w:pPr>
        <w:jc w:val="both"/>
        <w:rPr>
          <w:b/>
          <w:sz w:val="20"/>
          <w:szCs w:val="20"/>
        </w:rPr>
      </w:pPr>
      <w:r>
        <w:rPr>
          <w:b/>
          <w:sz w:val="20"/>
          <w:szCs w:val="20"/>
        </w:rPr>
        <w:t>SALES AND USE TAXES: MOTOR FUEL; TRANS</w:t>
      </w:r>
      <w:r w:rsidR="007E2A00">
        <w:rPr>
          <w:b/>
          <w:sz w:val="20"/>
          <w:szCs w:val="20"/>
        </w:rPr>
        <w:t>PORTATION SPLOST; INNKEEPER FEE DEFINITION</w:t>
      </w:r>
    </w:p>
    <w:p w:rsidR="002659FF" w:rsidRPr="00DE1ACA" w:rsidRDefault="002659FF" w:rsidP="003264CC">
      <w:pPr>
        <w:jc w:val="both"/>
        <w:rPr>
          <w:sz w:val="20"/>
          <w:szCs w:val="20"/>
        </w:rPr>
      </w:pPr>
    </w:p>
    <w:p w:rsidR="003264CC" w:rsidRPr="00DE1ACA" w:rsidRDefault="003264CC" w:rsidP="003264CC">
      <w:pPr>
        <w:jc w:val="both"/>
        <w:rPr>
          <w:b/>
          <w:sz w:val="20"/>
          <w:szCs w:val="20"/>
          <w:u w:val="single"/>
        </w:rPr>
      </w:pPr>
      <w:r w:rsidRPr="00DE1ACA">
        <w:rPr>
          <w:b/>
          <w:sz w:val="20"/>
          <w:szCs w:val="20"/>
          <w:u w:val="single"/>
        </w:rPr>
        <w:t>SUMMARY</w:t>
      </w:r>
    </w:p>
    <w:p w:rsidR="00292B8A" w:rsidRPr="00292B8A" w:rsidRDefault="00F319D3" w:rsidP="00292B8A">
      <w:pPr>
        <w:numPr>
          <w:ilvl w:val="0"/>
          <w:numId w:val="13"/>
        </w:numPr>
        <w:ind w:left="360"/>
        <w:jc w:val="both"/>
        <w:rPr>
          <w:sz w:val="20"/>
          <w:szCs w:val="20"/>
        </w:rPr>
      </w:pPr>
      <w:r>
        <w:rPr>
          <w:sz w:val="20"/>
          <w:szCs w:val="20"/>
        </w:rPr>
        <w:t>Authorizes counties</w:t>
      </w:r>
      <w:r w:rsidR="00292B8A" w:rsidRPr="00292B8A">
        <w:rPr>
          <w:sz w:val="20"/>
          <w:szCs w:val="20"/>
        </w:rPr>
        <w:t xml:space="preserve"> to impose </w:t>
      </w:r>
      <w:proofErr w:type="gramStart"/>
      <w:r w:rsidR="00292B8A" w:rsidRPr="00292B8A">
        <w:rPr>
          <w:sz w:val="20"/>
          <w:szCs w:val="20"/>
        </w:rPr>
        <w:t>a transportation special purpose local option sales</w:t>
      </w:r>
      <w:proofErr w:type="gramEnd"/>
      <w:r w:rsidR="00292B8A" w:rsidRPr="00292B8A">
        <w:rPr>
          <w:sz w:val="20"/>
          <w:szCs w:val="20"/>
        </w:rPr>
        <w:t xml:space="preserve"> and use tax, of up to 1 percent, subject to voter approval, the proceeds of which must be used for transportation purposes.</w:t>
      </w:r>
      <w:r w:rsidR="00292B8A">
        <w:rPr>
          <w:rStyle w:val="FootnoteReference"/>
          <w:sz w:val="20"/>
          <w:szCs w:val="20"/>
        </w:rPr>
        <w:footnoteReference w:id="1"/>
      </w:r>
    </w:p>
    <w:p w:rsidR="00A91F5F" w:rsidRPr="00DE1ACA" w:rsidRDefault="00A91F5F" w:rsidP="003264CC">
      <w:pPr>
        <w:jc w:val="both"/>
        <w:rPr>
          <w:b/>
          <w:sz w:val="20"/>
          <w:szCs w:val="20"/>
          <w:u w:val="single"/>
        </w:rPr>
      </w:pPr>
    </w:p>
    <w:p w:rsidR="00292B8A" w:rsidRPr="00025E9F" w:rsidRDefault="003264CC" w:rsidP="00292B8A">
      <w:pPr>
        <w:jc w:val="both"/>
        <w:rPr>
          <w:b/>
          <w:sz w:val="20"/>
          <w:szCs w:val="20"/>
          <w:u w:val="single"/>
        </w:rPr>
      </w:pPr>
      <w:r w:rsidRPr="00DE1ACA">
        <w:rPr>
          <w:b/>
          <w:sz w:val="20"/>
          <w:szCs w:val="20"/>
          <w:u w:val="single"/>
        </w:rPr>
        <w:t>ANALYSIS</w:t>
      </w:r>
      <w:r w:rsidR="00F94A61">
        <w:rPr>
          <w:b/>
          <w:sz w:val="20"/>
          <w:szCs w:val="20"/>
          <w:u w:val="single"/>
        </w:rPr>
        <w:t xml:space="preserve"> </w:t>
      </w:r>
    </w:p>
    <w:p w:rsidR="00937C7B" w:rsidRPr="00937C7B" w:rsidRDefault="00937C7B" w:rsidP="00292B8A">
      <w:pPr>
        <w:jc w:val="both"/>
        <w:rPr>
          <w:sz w:val="20"/>
          <w:szCs w:val="20"/>
          <w:u w:val="single"/>
        </w:rPr>
      </w:pPr>
      <w:r>
        <w:rPr>
          <w:sz w:val="20"/>
          <w:szCs w:val="20"/>
          <w:u w:val="single"/>
        </w:rPr>
        <w:t>Transportation Special Purpose Local Option Sales and Use tax</w:t>
      </w:r>
    </w:p>
    <w:p w:rsidR="000856CA" w:rsidRDefault="00292B8A" w:rsidP="00292B8A">
      <w:pPr>
        <w:jc w:val="both"/>
        <w:rPr>
          <w:sz w:val="20"/>
          <w:szCs w:val="20"/>
        </w:rPr>
      </w:pPr>
      <w:r w:rsidRPr="0049786B">
        <w:rPr>
          <w:sz w:val="20"/>
          <w:szCs w:val="20"/>
        </w:rPr>
        <w:t xml:space="preserve">Pursuant to the authority granted by Article IX, Section II, Paragraph VI of the State Constitution, this bill creates 159 districts within the </w:t>
      </w:r>
      <w:proofErr w:type="gramStart"/>
      <w:r>
        <w:rPr>
          <w:sz w:val="20"/>
          <w:szCs w:val="20"/>
        </w:rPr>
        <w:t>state</w:t>
      </w:r>
      <w:r w:rsidRPr="0049786B">
        <w:rPr>
          <w:sz w:val="20"/>
          <w:szCs w:val="20"/>
        </w:rPr>
        <w:t>, the geographic</w:t>
      </w:r>
      <w:r>
        <w:rPr>
          <w:sz w:val="20"/>
          <w:szCs w:val="20"/>
        </w:rPr>
        <w:t xml:space="preserve"> boundaries of which correspond</w:t>
      </w:r>
      <w:proofErr w:type="gramEnd"/>
      <w:r w:rsidRPr="0049786B">
        <w:rPr>
          <w:sz w:val="20"/>
          <w:szCs w:val="20"/>
        </w:rPr>
        <w:t xml:space="preserve">, and are conterminous, to each </w:t>
      </w:r>
      <w:r w:rsidR="000856CA">
        <w:rPr>
          <w:sz w:val="20"/>
          <w:szCs w:val="20"/>
        </w:rPr>
        <w:t>county:</w:t>
      </w:r>
    </w:p>
    <w:p w:rsidR="000856CA" w:rsidRPr="000856CA" w:rsidRDefault="00937C7B" w:rsidP="000856CA">
      <w:pPr>
        <w:pStyle w:val="ListParagraph"/>
        <w:numPr>
          <w:ilvl w:val="0"/>
          <w:numId w:val="13"/>
        </w:numPr>
        <w:jc w:val="both"/>
        <w:rPr>
          <w:sz w:val="20"/>
          <w:szCs w:val="20"/>
          <w:u w:val="single"/>
        </w:rPr>
      </w:pPr>
      <w:r>
        <w:rPr>
          <w:sz w:val="20"/>
          <w:szCs w:val="20"/>
        </w:rPr>
        <w:t>On or after July 1, 2016</w:t>
      </w:r>
      <w:r w:rsidR="000856CA">
        <w:rPr>
          <w:sz w:val="20"/>
          <w:szCs w:val="20"/>
        </w:rPr>
        <w:t>, any county</w:t>
      </w:r>
      <w:r w:rsidR="005E667C">
        <w:rPr>
          <w:sz w:val="20"/>
          <w:szCs w:val="20"/>
        </w:rPr>
        <w:t>:</w:t>
      </w:r>
      <w:r w:rsidR="000856CA">
        <w:rPr>
          <w:sz w:val="20"/>
          <w:szCs w:val="20"/>
        </w:rPr>
        <w:t xml:space="preserve"> that</w:t>
      </w:r>
      <w:r w:rsidR="00292B8A" w:rsidRPr="000856CA">
        <w:rPr>
          <w:sz w:val="20"/>
          <w:szCs w:val="20"/>
        </w:rPr>
        <w:t xml:space="preserve"> is not located within a special district with a special district t</w:t>
      </w:r>
      <w:r w:rsidR="005E667C">
        <w:rPr>
          <w:sz w:val="20"/>
          <w:szCs w:val="20"/>
        </w:rPr>
        <w:t>ransportation sales and use tax;</w:t>
      </w:r>
      <w:r w:rsidR="00292B8A" w:rsidRPr="000856CA">
        <w:rPr>
          <w:sz w:val="20"/>
          <w:szCs w:val="20"/>
        </w:rPr>
        <w:t xml:space="preserve"> </w:t>
      </w:r>
      <w:r w:rsidR="005E667C">
        <w:rPr>
          <w:sz w:val="20"/>
          <w:szCs w:val="20"/>
        </w:rPr>
        <w:t xml:space="preserve">is currently levying the special purpose location option sales and use tax, the joint county and municipality tax, or the tax collected pursuant to the constitutional authority for MARTA; </w:t>
      </w:r>
      <w:r w:rsidR="000856CA">
        <w:rPr>
          <w:sz w:val="20"/>
          <w:szCs w:val="20"/>
        </w:rPr>
        <w:t>and is a mass transportation regional system participant</w:t>
      </w:r>
      <w:r w:rsidR="00696848">
        <w:rPr>
          <w:rStyle w:val="FootnoteReference"/>
          <w:sz w:val="20"/>
          <w:szCs w:val="20"/>
        </w:rPr>
        <w:footnoteReference w:id="2"/>
      </w:r>
      <w:r w:rsidR="000856CA">
        <w:rPr>
          <w:sz w:val="20"/>
          <w:szCs w:val="20"/>
        </w:rPr>
        <w:t>, may</w:t>
      </w:r>
      <w:r w:rsidR="00292B8A" w:rsidRPr="000856CA">
        <w:rPr>
          <w:sz w:val="20"/>
          <w:szCs w:val="20"/>
        </w:rPr>
        <w:t xml:space="preserve">, subject to referendum approval, impose within the district a special sales and use tax, for up to 1 percent, </w:t>
      </w:r>
      <w:r w:rsidR="00696848">
        <w:rPr>
          <w:sz w:val="20"/>
          <w:szCs w:val="20"/>
        </w:rPr>
        <w:t>not to exceed five years,</w:t>
      </w:r>
      <w:r w:rsidR="00292B8A" w:rsidRPr="000856CA">
        <w:rPr>
          <w:sz w:val="20"/>
          <w:szCs w:val="20"/>
        </w:rPr>
        <w:t xml:space="preserve"> the proceeds of which must be used for transportation purposes. </w:t>
      </w:r>
    </w:p>
    <w:p w:rsidR="000856CA" w:rsidRPr="000856CA" w:rsidRDefault="00E34C80" w:rsidP="000856CA">
      <w:pPr>
        <w:pStyle w:val="ListParagraph"/>
        <w:numPr>
          <w:ilvl w:val="0"/>
          <w:numId w:val="13"/>
        </w:numPr>
        <w:jc w:val="both"/>
        <w:rPr>
          <w:sz w:val="20"/>
          <w:szCs w:val="20"/>
          <w:u w:val="single"/>
        </w:rPr>
      </w:pPr>
      <w:r>
        <w:rPr>
          <w:sz w:val="20"/>
          <w:szCs w:val="20"/>
        </w:rPr>
        <w:t>On or after J</w:t>
      </w:r>
      <w:r w:rsidR="00856243">
        <w:rPr>
          <w:sz w:val="20"/>
          <w:szCs w:val="20"/>
        </w:rPr>
        <w:t>uly</w:t>
      </w:r>
      <w:r w:rsidR="000856CA">
        <w:rPr>
          <w:sz w:val="20"/>
          <w:szCs w:val="20"/>
        </w:rPr>
        <w:t xml:space="preserve"> 1, 2017, any county</w:t>
      </w:r>
      <w:r w:rsidR="005E667C">
        <w:rPr>
          <w:sz w:val="20"/>
          <w:szCs w:val="20"/>
        </w:rPr>
        <w:t>:</w:t>
      </w:r>
      <w:r w:rsidR="000856CA">
        <w:rPr>
          <w:sz w:val="20"/>
          <w:szCs w:val="20"/>
        </w:rPr>
        <w:t xml:space="preserve"> that is not located within a special district with a special district transportation sales and use tax</w:t>
      </w:r>
      <w:r w:rsidR="005E667C">
        <w:rPr>
          <w:sz w:val="20"/>
          <w:szCs w:val="20"/>
        </w:rPr>
        <w:t>; and, is currently levying the special purpose location option sales and use tax, the joint county and municipality tax, or the tax collected pursuant to the constitutional authority for MARTA</w:t>
      </w:r>
      <w:r w:rsidR="000856CA">
        <w:rPr>
          <w:sz w:val="20"/>
          <w:szCs w:val="20"/>
        </w:rPr>
        <w:t xml:space="preserve"> may,</w:t>
      </w:r>
      <w:r w:rsidR="000856CA" w:rsidRPr="000856CA">
        <w:rPr>
          <w:sz w:val="20"/>
          <w:szCs w:val="20"/>
        </w:rPr>
        <w:t xml:space="preserve"> subject to referendum approval, impose within the district a special sales and use tax, for up to 1 percent, </w:t>
      </w:r>
      <w:r w:rsidR="00696848">
        <w:rPr>
          <w:sz w:val="20"/>
          <w:szCs w:val="20"/>
        </w:rPr>
        <w:t xml:space="preserve">not to exceed five years, </w:t>
      </w:r>
      <w:r w:rsidR="000856CA" w:rsidRPr="000856CA">
        <w:rPr>
          <w:sz w:val="20"/>
          <w:szCs w:val="20"/>
        </w:rPr>
        <w:t>the proceeds of which must be used for transportation purposes.</w:t>
      </w:r>
    </w:p>
    <w:p w:rsidR="000856CA" w:rsidRPr="000856CA" w:rsidRDefault="000856CA" w:rsidP="000856CA">
      <w:pPr>
        <w:pStyle w:val="ListParagraph"/>
        <w:jc w:val="both"/>
        <w:rPr>
          <w:sz w:val="20"/>
          <w:szCs w:val="20"/>
          <w:u w:val="single"/>
        </w:rPr>
      </w:pPr>
    </w:p>
    <w:p w:rsidR="007E2A00" w:rsidRDefault="00292B8A" w:rsidP="000C5887">
      <w:pPr>
        <w:jc w:val="both"/>
        <w:rPr>
          <w:sz w:val="20"/>
          <w:szCs w:val="20"/>
        </w:rPr>
      </w:pPr>
      <w:r w:rsidRPr="000856CA">
        <w:rPr>
          <w:sz w:val="20"/>
          <w:szCs w:val="20"/>
        </w:rPr>
        <w:t>Prior to the referendum, the county must meet with each qualified municipality</w:t>
      </w:r>
      <w:r>
        <w:rPr>
          <w:rStyle w:val="FootnoteReference"/>
          <w:sz w:val="20"/>
          <w:szCs w:val="20"/>
        </w:rPr>
        <w:footnoteReference w:id="3"/>
      </w:r>
      <w:r w:rsidRPr="000856CA">
        <w:rPr>
          <w:sz w:val="20"/>
          <w:szCs w:val="20"/>
        </w:rPr>
        <w:t xml:space="preserve"> to discuss possible projects for inclusion in the referendum, and may enter into an intergovernmental agreement that details the projects and procedures for distributing proceeds. </w:t>
      </w:r>
      <w:r w:rsidRPr="0049786B">
        <w:rPr>
          <w:sz w:val="20"/>
          <w:szCs w:val="20"/>
        </w:rPr>
        <w:t>After execution of the intergovernmental agreement, if applicable, the governing authority of the county may, by majority vote on a resolution, submit the list of transporta</w:t>
      </w:r>
      <w:r>
        <w:rPr>
          <w:sz w:val="20"/>
          <w:szCs w:val="20"/>
        </w:rPr>
        <w:t>tion purposes and the question</w:t>
      </w:r>
      <w:r w:rsidRPr="0049786B">
        <w:rPr>
          <w:sz w:val="20"/>
          <w:szCs w:val="20"/>
        </w:rPr>
        <w:t xml:space="preserve"> of whether the levy should be approved to electors of the district in </w:t>
      </w:r>
      <w:r w:rsidR="0003498D">
        <w:rPr>
          <w:sz w:val="20"/>
          <w:szCs w:val="20"/>
        </w:rPr>
        <w:t xml:space="preserve">an election. If the intergovernmental agreement is not entered into, the maximum rate of the tax must not exceed .75 percent and must be determined by the county governing authority. </w:t>
      </w:r>
      <w:r w:rsidRPr="0049786B">
        <w:rPr>
          <w:sz w:val="20"/>
          <w:szCs w:val="20"/>
        </w:rPr>
        <w:t>If the proposal includes the authority to issue general obligation debt, and if more than one-half of the votes cast are in favor of the proposal, then the authority to issue such debt in accordance with Article IX, Section V, Paragraph I of the Constitution is given to th</w:t>
      </w:r>
      <w:r>
        <w:rPr>
          <w:sz w:val="20"/>
          <w:szCs w:val="20"/>
        </w:rPr>
        <w:t>e proper officers of the county; otherwise, debt must not be issued.</w:t>
      </w:r>
      <w:r w:rsidRPr="0049786B">
        <w:rPr>
          <w:sz w:val="20"/>
          <w:szCs w:val="20"/>
        </w:rPr>
        <w:t xml:space="preserve"> </w:t>
      </w:r>
      <w:r w:rsidR="004771A7">
        <w:rPr>
          <w:sz w:val="20"/>
          <w:szCs w:val="20"/>
        </w:rPr>
        <w:t xml:space="preserve">Dealers </w:t>
      </w:r>
      <w:r w:rsidRPr="0049786B">
        <w:rPr>
          <w:sz w:val="20"/>
          <w:szCs w:val="20"/>
        </w:rPr>
        <w:t xml:space="preserve">are allowed a percentage of the amount of the tax due </w:t>
      </w:r>
      <w:r>
        <w:rPr>
          <w:sz w:val="20"/>
          <w:szCs w:val="20"/>
        </w:rPr>
        <w:t xml:space="preserve">at the rate provided for in current law. </w:t>
      </w:r>
      <w:r w:rsidRPr="0049786B">
        <w:rPr>
          <w:sz w:val="20"/>
          <w:szCs w:val="20"/>
        </w:rPr>
        <w:t>The proceeds of the tax must be disbursed as follows: one percent of the amount collected must be paid into the general fund of the state treasury in order to defray the costs of administration; and the remaining proceeds must be distributed pursuant to the terms of the intergovernmental agreement, if applicable. The</w:t>
      </w:r>
      <w:r>
        <w:rPr>
          <w:sz w:val="20"/>
          <w:szCs w:val="20"/>
        </w:rPr>
        <w:t xml:space="preserve"> bill</w:t>
      </w:r>
      <w:r w:rsidR="006536C5">
        <w:rPr>
          <w:sz w:val="20"/>
          <w:szCs w:val="20"/>
        </w:rPr>
        <w:t xml:space="preserve"> provides certain exemptions, </w:t>
      </w:r>
      <w:r>
        <w:rPr>
          <w:sz w:val="20"/>
          <w:szCs w:val="20"/>
        </w:rPr>
        <w:t xml:space="preserve">and provides that the </w:t>
      </w:r>
      <w:r w:rsidRPr="0049786B">
        <w:rPr>
          <w:sz w:val="20"/>
          <w:szCs w:val="20"/>
        </w:rPr>
        <w:t xml:space="preserve">tax is not subject to any allocation or balancing of state and federal funds provided by general law. </w:t>
      </w:r>
    </w:p>
    <w:p w:rsidR="007E2A00" w:rsidRDefault="007E2A00" w:rsidP="000C5887">
      <w:pPr>
        <w:jc w:val="both"/>
        <w:rPr>
          <w:sz w:val="20"/>
          <w:szCs w:val="20"/>
        </w:rPr>
      </w:pPr>
    </w:p>
    <w:p w:rsidR="007E2A00" w:rsidRDefault="007E2A00" w:rsidP="000C5887">
      <w:pPr>
        <w:jc w:val="both"/>
        <w:rPr>
          <w:sz w:val="20"/>
          <w:szCs w:val="20"/>
          <w:u w:val="single"/>
        </w:rPr>
      </w:pPr>
      <w:r>
        <w:rPr>
          <w:sz w:val="20"/>
          <w:szCs w:val="20"/>
          <w:u w:val="single"/>
        </w:rPr>
        <w:t>Joint County and Municipal Sales and Use Tax on Motor Fuel; Innkeeper Fee Definition</w:t>
      </w:r>
    </w:p>
    <w:p w:rsidR="007E2A00" w:rsidRDefault="007E2A00" w:rsidP="000C5887">
      <w:pPr>
        <w:jc w:val="both"/>
        <w:rPr>
          <w:sz w:val="20"/>
          <w:szCs w:val="20"/>
        </w:rPr>
      </w:pPr>
      <w:r>
        <w:rPr>
          <w:sz w:val="20"/>
          <w:szCs w:val="20"/>
        </w:rPr>
        <w:t>On or after July 1, 2015, the joint sales and use tax levied on the sale of motor fuel must be at the rate of 1 percent of the retail sales price of motor fuel which is not more than $3.00 per gallon; however, this bill clarifies that in any consolidated government levying such tax at 2 percent, the rate must now be at 2 percent of the retail sales price of motor fuel which is not more than $3</w:t>
      </w:r>
      <w:proofErr w:type="gramStart"/>
      <w:r>
        <w:rPr>
          <w:sz w:val="20"/>
          <w:szCs w:val="20"/>
        </w:rPr>
        <w:t>,00</w:t>
      </w:r>
      <w:proofErr w:type="gramEnd"/>
      <w:r>
        <w:rPr>
          <w:sz w:val="20"/>
          <w:szCs w:val="20"/>
        </w:rPr>
        <w:t xml:space="preserve"> per gallon. This bill also redefines the term innkeeper as it relates to the $5 innkeeper fee to mean any person who is subject to taxation for the furnishing for value to the public a hotel or motel room. </w:t>
      </w:r>
      <w:r>
        <w:rPr>
          <w:b/>
          <w:sz w:val="16"/>
          <w:szCs w:val="16"/>
        </w:rPr>
        <w:t>House Vote: 166-0</w:t>
      </w:r>
      <w:r w:rsidRPr="006935EB">
        <w:rPr>
          <w:sz w:val="20"/>
          <w:szCs w:val="20"/>
        </w:rPr>
        <w:t xml:space="preserve">; </w:t>
      </w:r>
      <w:r w:rsidRPr="00D3755E">
        <w:rPr>
          <w:b/>
          <w:sz w:val="16"/>
          <w:szCs w:val="16"/>
        </w:rPr>
        <w:t xml:space="preserve">Analyst:  Angie </w:t>
      </w:r>
      <w:proofErr w:type="spellStart"/>
      <w:r w:rsidRPr="00D3755E">
        <w:rPr>
          <w:b/>
          <w:sz w:val="16"/>
          <w:szCs w:val="16"/>
        </w:rPr>
        <w:t>Fiese</w:t>
      </w:r>
      <w:proofErr w:type="spellEnd"/>
    </w:p>
    <w:p w:rsidR="000C5887" w:rsidRPr="007E2A00" w:rsidRDefault="00E22BF7" w:rsidP="000C5887">
      <w:pPr>
        <w:jc w:val="both"/>
        <w:rPr>
          <w:sz w:val="20"/>
          <w:szCs w:val="20"/>
        </w:rPr>
      </w:pPr>
      <w:bookmarkStart w:id="0" w:name="_GoBack"/>
      <w:bookmarkEnd w:id="0"/>
      <w:r w:rsidRPr="00D3755E">
        <w:rPr>
          <w:b/>
          <w:sz w:val="16"/>
          <w:szCs w:val="16"/>
        </w:rPr>
        <w:tab/>
      </w:r>
      <w:r w:rsidR="00470D55" w:rsidRPr="00D3755E">
        <w:rPr>
          <w:b/>
          <w:sz w:val="16"/>
          <w:szCs w:val="16"/>
        </w:rPr>
        <w:tab/>
      </w:r>
      <w:r w:rsidR="00470D55" w:rsidRPr="00D3755E">
        <w:rPr>
          <w:b/>
          <w:sz w:val="16"/>
          <w:szCs w:val="16"/>
        </w:rPr>
        <w:tab/>
      </w:r>
      <w:r w:rsidR="00470D55" w:rsidRPr="00D3755E">
        <w:rPr>
          <w:b/>
          <w:sz w:val="16"/>
          <w:szCs w:val="16"/>
        </w:rPr>
        <w:tab/>
      </w:r>
      <w:r w:rsidR="00470D55" w:rsidRPr="00D3755E">
        <w:rPr>
          <w:b/>
          <w:sz w:val="16"/>
          <w:szCs w:val="16"/>
        </w:rPr>
        <w:tab/>
      </w:r>
      <w:r w:rsidR="00470D55" w:rsidRPr="00D3755E">
        <w:rPr>
          <w:b/>
          <w:sz w:val="16"/>
          <w:szCs w:val="16"/>
        </w:rPr>
        <w:tab/>
      </w:r>
      <w:r w:rsidR="00470D55" w:rsidRPr="00D3755E">
        <w:rPr>
          <w:b/>
          <w:sz w:val="16"/>
          <w:szCs w:val="16"/>
        </w:rPr>
        <w:tab/>
      </w:r>
      <w:r w:rsidR="00470D55" w:rsidRPr="00D3755E">
        <w:rPr>
          <w:b/>
          <w:sz w:val="16"/>
          <w:szCs w:val="16"/>
        </w:rPr>
        <w:tab/>
      </w:r>
      <w:r w:rsidR="00ED3609" w:rsidRPr="00D3755E">
        <w:rPr>
          <w:b/>
          <w:sz w:val="16"/>
          <w:szCs w:val="16"/>
        </w:rPr>
        <w:tab/>
      </w:r>
    </w:p>
    <w:sectPr w:rsidR="000C5887" w:rsidRPr="007E2A00" w:rsidSect="007E2A00">
      <w:footerReference w:type="even" r:id="rId10"/>
      <w:footerReference w:type="default" r:id="rId11"/>
      <w:pgSz w:w="12240" w:h="15840"/>
      <w:pgMar w:top="288" w:right="245" w:bottom="288" w:left="24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D22" w:rsidRDefault="006A3D22">
      <w:r>
        <w:separator/>
      </w:r>
    </w:p>
  </w:endnote>
  <w:endnote w:type="continuationSeparator" w:id="0">
    <w:p w:rsidR="006A3D22" w:rsidRDefault="006A3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2D3" w:rsidRDefault="006902D3" w:rsidP="00511D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902D3" w:rsidRDefault="006902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2D3" w:rsidRDefault="006902D3" w:rsidP="00696219">
    <w:pPr>
      <w:pStyle w:val="Footer"/>
      <w:jc w:val="center"/>
    </w:pPr>
    <w:r w:rsidRPr="00696219">
      <w:rPr>
        <w:rStyle w:val="PageNumber"/>
        <w:b/>
        <w:sz w:val="16"/>
        <w:szCs w:val="16"/>
      </w:rPr>
      <w:t xml:space="preserve">Page </w:t>
    </w:r>
    <w:r w:rsidRPr="00696219">
      <w:rPr>
        <w:rStyle w:val="PageNumber"/>
        <w:b/>
        <w:sz w:val="16"/>
        <w:szCs w:val="16"/>
      </w:rPr>
      <w:fldChar w:fldCharType="begin"/>
    </w:r>
    <w:r w:rsidRPr="00696219">
      <w:rPr>
        <w:rStyle w:val="PageNumber"/>
        <w:b/>
        <w:sz w:val="16"/>
        <w:szCs w:val="16"/>
      </w:rPr>
      <w:instrText xml:space="preserve"> PAGE </w:instrText>
    </w:r>
    <w:r w:rsidRPr="00696219">
      <w:rPr>
        <w:rStyle w:val="PageNumber"/>
        <w:b/>
        <w:sz w:val="16"/>
        <w:szCs w:val="16"/>
      </w:rPr>
      <w:fldChar w:fldCharType="separate"/>
    </w:r>
    <w:r w:rsidR="007E2A00">
      <w:rPr>
        <w:rStyle w:val="PageNumber"/>
        <w:b/>
        <w:noProof/>
        <w:sz w:val="16"/>
        <w:szCs w:val="16"/>
      </w:rPr>
      <w:t>1</w:t>
    </w:r>
    <w:r w:rsidRPr="00696219">
      <w:rPr>
        <w:rStyle w:val="PageNumber"/>
        <w:b/>
        <w:sz w:val="16"/>
        <w:szCs w:val="16"/>
      </w:rPr>
      <w:fldChar w:fldCharType="end"/>
    </w:r>
    <w:r w:rsidRPr="00696219">
      <w:rPr>
        <w:rStyle w:val="PageNumber"/>
        <w:b/>
        <w:sz w:val="16"/>
        <w:szCs w:val="16"/>
      </w:rPr>
      <w:t xml:space="preserve"> of </w:t>
    </w:r>
    <w:r w:rsidRPr="00696219">
      <w:rPr>
        <w:rStyle w:val="PageNumber"/>
        <w:b/>
        <w:sz w:val="16"/>
        <w:szCs w:val="16"/>
      </w:rPr>
      <w:fldChar w:fldCharType="begin"/>
    </w:r>
    <w:r w:rsidRPr="00696219">
      <w:rPr>
        <w:rStyle w:val="PageNumber"/>
        <w:b/>
        <w:sz w:val="16"/>
        <w:szCs w:val="16"/>
      </w:rPr>
      <w:instrText xml:space="preserve"> NUMPAGES </w:instrText>
    </w:r>
    <w:r w:rsidRPr="00696219">
      <w:rPr>
        <w:rStyle w:val="PageNumber"/>
        <w:b/>
        <w:sz w:val="16"/>
        <w:szCs w:val="16"/>
      </w:rPr>
      <w:fldChar w:fldCharType="separate"/>
    </w:r>
    <w:r w:rsidR="007E2A00">
      <w:rPr>
        <w:rStyle w:val="PageNumber"/>
        <w:b/>
        <w:noProof/>
        <w:sz w:val="16"/>
        <w:szCs w:val="16"/>
      </w:rPr>
      <w:t>2</w:t>
    </w:r>
    <w:r w:rsidRPr="00696219">
      <w:rPr>
        <w:rStyle w:val="PageNumbe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D22" w:rsidRDefault="006A3D22">
      <w:r>
        <w:separator/>
      </w:r>
    </w:p>
  </w:footnote>
  <w:footnote w:type="continuationSeparator" w:id="0">
    <w:p w:rsidR="006A3D22" w:rsidRDefault="006A3D22">
      <w:r>
        <w:continuationSeparator/>
      </w:r>
    </w:p>
  </w:footnote>
  <w:footnote w:id="1">
    <w:p w:rsidR="00292B8A" w:rsidRPr="009151AD" w:rsidRDefault="00292B8A" w:rsidP="00292B8A">
      <w:pPr>
        <w:pStyle w:val="FootnoteText"/>
        <w:jc w:val="both"/>
        <w:rPr>
          <w:sz w:val="17"/>
          <w:szCs w:val="17"/>
        </w:rPr>
      </w:pPr>
      <w:r w:rsidRPr="009151AD">
        <w:rPr>
          <w:rStyle w:val="FootnoteReference"/>
          <w:sz w:val="17"/>
          <w:szCs w:val="17"/>
        </w:rPr>
        <w:footnoteRef/>
      </w:r>
      <w:r w:rsidRPr="009151AD">
        <w:rPr>
          <w:sz w:val="17"/>
          <w:szCs w:val="17"/>
        </w:rPr>
        <w:t xml:space="preserve"> “Transportation purposes” means and includes roads, bridges, public transit, rails, airports, buses, seaports, including without limitation road, street, and bridge purposes, and all accompanying infrastructure and services necessary to provide access to these transportation facilities, including general obligation debt and other multiyear obligations issued to finance such purposes. </w:t>
      </w:r>
    </w:p>
  </w:footnote>
  <w:footnote w:id="2">
    <w:p w:rsidR="00696848" w:rsidRPr="00696848" w:rsidRDefault="00696848" w:rsidP="00696848">
      <w:pPr>
        <w:pStyle w:val="FootnoteText"/>
        <w:jc w:val="both"/>
        <w:rPr>
          <w:sz w:val="18"/>
          <w:szCs w:val="18"/>
        </w:rPr>
      </w:pPr>
      <w:r>
        <w:rPr>
          <w:rStyle w:val="FootnoteReference"/>
        </w:rPr>
        <w:footnoteRef/>
      </w:r>
      <w:r>
        <w:t xml:space="preserve"> “</w:t>
      </w:r>
      <w:r w:rsidRPr="00696848">
        <w:rPr>
          <w:sz w:val="17"/>
          <w:szCs w:val="17"/>
        </w:rPr>
        <w:t>Mass transportation regional participant” is defined in the bill as any county wherein mass transportation service is provided within</w:t>
      </w:r>
      <w:r w:rsidR="002A338C">
        <w:rPr>
          <w:sz w:val="17"/>
          <w:szCs w:val="17"/>
        </w:rPr>
        <w:t xml:space="preserve"> the district, to the district, or from the district, </w:t>
      </w:r>
      <w:r w:rsidRPr="00696848">
        <w:rPr>
          <w:sz w:val="17"/>
          <w:szCs w:val="17"/>
        </w:rPr>
        <w:t>by a multicounty regional transportation authority created by an Act of the General Assembly, including but not limited to, the Georgia Regional Transportation Authority or the Metropolitan Atlanta Rapid Transit Authority</w:t>
      </w:r>
      <w:r>
        <w:rPr>
          <w:sz w:val="18"/>
          <w:szCs w:val="18"/>
        </w:rPr>
        <w:t xml:space="preserve">.  </w:t>
      </w:r>
      <w:r w:rsidRPr="00696848">
        <w:rPr>
          <w:sz w:val="17"/>
          <w:szCs w:val="17"/>
        </w:rPr>
        <w:t>“Mass transportation” is defined in the bill as any mode of transportation serving the general public which is appropriate to transport people by highways or rail.</w:t>
      </w:r>
      <w:r>
        <w:rPr>
          <w:sz w:val="18"/>
          <w:szCs w:val="18"/>
        </w:rPr>
        <w:t xml:space="preserve"> </w:t>
      </w:r>
    </w:p>
  </w:footnote>
  <w:footnote w:id="3">
    <w:p w:rsidR="00292B8A" w:rsidRDefault="00292B8A" w:rsidP="00292B8A">
      <w:pPr>
        <w:pStyle w:val="FootnoteText"/>
        <w:jc w:val="both"/>
      </w:pPr>
      <w:r w:rsidRPr="009151AD">
        <w:rPr>
          <w:rStyle w:val="FootnoteReference"/>
          <w:sz w:val="17"/>
          <w:szCs w:val="17"/>
        </w:rPr>
        <w:footnoteRef/>
      </w:r>
      <w:r w:rsidRPr="009151AD">
        <w:rPr>
          <w:sz w:val="17"/>
          <w:szCs w:val="17"/>
        </w:rPr>
        <w:t xml:space="preserve"> The term “qualified municipality” is one wholly within a district, defined in current law as an incorporated municipality that provides at least three of the specifically-defined list of </w:t>
      </w:r>
      <w:r w:rsidR="00696848">
        <w:rPr>
          <w:sz w:val="17"/>
          <w:szCs w:val="17"/>
        </w:rPr>
        <w:t xml:space="preserve">governmental </w:t>
      </w:r>
      <w:r w:rsidRPr="009151AD">
        <w:rPr>
          <w:sz w:val="17"/>
          <w:szCs w:val="17"/>
        </w:rPr>
        <w:t>services.</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27D80"/>
    <w:multiLevelType w:val="hybridMultilevel"/>
    <w:tmpl w:val="B81CA0AC"/>
    <w:lvl w:ilvl="0" w:tplc="5C82444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3D480A"/>
    <w:multiLevelType w:val="hybridMultilevel"/>
    <w:tmpl w:val="B33215EC"/>
    <w:lvl w:ilvl="0" w:tplc="5C82444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092185"/>
    <w:multiLevelType w:val="hybridMultilevel"/>
    <w:tmpl w:val="3814E3FC"/>
    <w:lvl w:ilvl="0" w:tplc="5C82444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F82C2B"/>
    <w:multiLevelType w:val="hybridMultilevel"/>
    <w:tmpl w:val="8DAC7F04"/>
    <w:lvl w:ilvl="0" w:tplc="5C82444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41613AB"/>
    <w:multiLevelType w:val="hybridMultilevel"/>
    <w:tmpl w:val="B4C6BCE8"/>
    <w:lvl w:ilvl="0" w:tplc="F48092C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6ED0918"/>
    <w:multiLevelType w:val="hybridMultilevel"/>
    <w:tmpl w:val="56461DB8"/>
    <w:lvl w:ilvl="0" w:tplc="5C82444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6">
    <w:nsid w:val="39D72824"/>
    <w:multiLevelType w:val="hybridMultilevel"/>
    <w:tmpl w:val="9B14F478"/>
    <w:lvl w:ilvl="0" w:tplc="5C824448">
      <w:start w:val="1"/>
      <w:numFmt w:val="bullet"/>
      <w:lvlText w:val=""/>
      <w:lvlJc w:val="left"/>
      <w:pPr>
        <w:tabs>
          <w:tab w:val="num" w:pos="360"/>
        </w:tabs>
        <w:ind w:left="360" w:hanging="360"/>
      </w:pPr>
      <w:rPr>
        <w:rFonts w:ascii="Wingdings" w:hAnsi="Wingdings" w:hint="default"/>
      </w:rPr>
    </w:lvl>
    <w:lvl w:ilvl="1" w:tplc="F48092C4">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5B7358F"/>
    <w:multiLevelType w:val="hybridMultilevel"/>
    <w:tmpl w:val="C5284320"/>
    <w:lvl w:ilvl="0" w:tplc="F48092C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8936B9E"/>
    <w:multiLevelType w:val="hybridMultilevel"/>
    <w:tmpl w:val="08527ED6"/>
    <w:lvl w:ilvl="0" w:tplc="5C82444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35C34AC"/>
    <w:multiLevelType w:val="hybridMultilevel"/>
    <w:tmpl w:val="F604AA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A0802AB"/>
    <w:multiLevelType w:val="hybridMultilevel"/>
    <w:tmpl w:val="C4C09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20273E"/>
    <w:multiLevelType w:val="hybridMultilevel"/>
    <w:tmpl w:val="3FE0DEDE"/>
    <w:lvl w:ilvl="0" w:tplc="F48092C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12">
    <w:nsid w:val="77F53ACB"/>
    <w:multiLevelType w:val="hybridMultilevel"/>
    <w:tmpl w:val="DE54B5FC"/>
    <w:lvl w:ilvl="0" w:tplc="0540BE52">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num w:numId="1">
    <w:abstractNumId w:val="9"/>
  </w:num>
  <w:num w:numId="2">
    <w:abstractNumId w:val="7"/>
  </w:num>
  <w:num w:numId="3">
    <w:abstractNumId w:val="3"/>
  </w:num>
  <w:num w:numId="4">
    <w:abstractNumId w:val="2"/>
  </w:num>
  <w:num w:numId="5">
    <w:abstractNumId w:val="8"/>
  </w:num>
  <w:num w:numId="6">
    <w:abstractNumId w:val="12"/>
  </w:num>
  <w:num w:numId="7">
    <w:abstractNumId w:val="1"/>
  </w:num>
  <w:num w:numId="8">
    <w:abstractNumId w:val="5"/>
  </w:num>
  <w:num w:numId="9">
    <w:abstractNumId w:val="6"/>
  </w:num>
  <w:num w:numId="10">
    <w:abstractNumId w:val="0"/>
  </w:num>
  <w:num w:numId="11">
    <w:abstractNumId w:val="11"/>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D8C"/>
    <w:rsid w:val="00007DB7"/>
    <w:rsid w:val="00014F0B"/>
    <w:rsid w:val="0001542A"/>
    <w:rsid w:val="0001705D"/>
    <w:rsid w:val="00025E9F"/>
    <w:rsid w:val="00034795"/>
    <w:rsid w:val="0003498D"/>
    <w:rsid w:val="00040C8D"/>
    <w:rsid w:val="00042B9F"/>
    <w:rsid w:val="00046BA7"/>
    <w:rsid w:val="00077F15"/>
    <w:rsid w:val="000856CA"/>
    <w:rsid w:val="00093F2A"/>
    <w:rsid w:val="00094983"/>
    <w:rsid w:val="00094F65"/>
    <w:rsid w:val="00095A0A"/>
    <w:rsid w:val="00095D86"/>
    <w:rsid w:val="000B4F68"/>
    <w:rsid w:val="000C5887"/>
    <w:rsid w:val="000C6DA4"/>
    <w:rsid w:val="000D25D8"/>
    <w:rsid w:val="000E27C8"/>
    <w:rsid w:val="000E3BDC"/>
    <w:rsid w:val="000F4BC7"/>
    <w:rsid w:val="000F69AF"/>
    <w:rsid w:val="001053E1"/>
    <w:rsid w:val="001124C3"/>
    <w:rsid w:val="0011356C"/>
    <w:rsid w:val="0011799B"/>
    <w:rsid w:val="00122FEF"/>
    <w:rsid w:val="0013112C"/>
    <w:rsid w:val="00152F59"/>
    <w:rsid w:val="00155D34"/>
    <w:rsid w:val="00163E2C"/>
    <w:rsid w:val="00165562"/>
    <w:rsid w:val="0016598B"/>
    <w:rsid w:val="001B7F0D"/>
    <w:rsid w:val="001C0BA3"/>
    <w:rsid w:val="001C6A3E"/>
    <w:rsid w:val="001D6EEC"/>
    <w:rsid w:val="001F4C08"/>
    <w:rsid w:val="00213113"/>
    <w:rsid w:val="002179A3"/>
    <w:rsid w:val="002409A1"/>
    <w:rsid w:val="00244A00"/>
    <w:rsid w:val="002450BD"/>
    <w:rsid w:val="0026255C"/>
    <w:rsid w:val="002659FF"/>
    <w:rsid w:val="00271763"/>
    <w:rsid w:val="00292A1C"/>
    <w:rsid w:val="00292B8A"/>
    <w:rsid w:val="00293622"/>
    <w:rsid w:val="00294FA5"/>
    <w:rsid w:val="002A338C"/>
    <w:rsid w:val="002A79B7"/>
    <w:rsid w:val="002B76E4"/>
    <w:rsid w:val="002C0291"/>
    <w:rsid w:val="002C3A98"/>
    <w:rsid w:val="002D113D"/>
    <w:rsid w:val="002F091C"/>
    <w:rsid w:val="002F40ED"/>
    <w:rsid w:val="002F56A5"/>
    <w:rsid w:val="0030441F"/>
    <w:rsid w:val="003132BF"/>
    <w:rsid w:val="00320062"/>
    <w:rsid w:val="00321E6F"/>
    <w:rsid w:val="003264CC"/>
    <w:rsid w:val="0033699E"/>
    <w:rsid w:val="0033729D"/>
    <w:rsid w:val="00362C3C"/>
    <w:rsid w:val="00385701"/>
    <w:rsid w:val="00385EE2"/>
    <w:rsid w:val="003A521F"/>
    <w:rsid w:val="003D020C"/>
    <w:rsid w:val="003D710E"/>
    <w:rsid w:val="003E1503"/>
    <w:rsid w:val="004002F4"/>
    <w:rsid w:val="004310BE"/>
    <w:rsid w:val="00432223"/>
    <w:rsid w:val="00442D77"/>
    <w:rsid w:val="00453CFC"/>
    <w:rsid w:val="00456FE2"/>
    <w:rsid w:val="00465099"/>
    <w:rsid w:val="00470D55"/>
    <w:rsid w:val="004715C8"/>
    <w:rsid w:val="004750BA"/>
    <w:rsid w:val="004771A7"/>
    <w:rsid w:val="00486771"/>
    <w:rsid w:val="00487504"/>
    <w:rsid w:val="00497EC4"/>
    <w:rsid w:val="004B0889"/>
    <w:rsid w:val="004B79F4"/>
    <w:rsid w:val="00511D71"/>
    <w:rsid w:val="00532A3E"/>
    <w:rsid w:val="00551907"/>
    <w:rsid w:val="00557317"/>
    <w:rsid w:val="005602B8"/>
    <w:rsid w:val="0056130E"/>
    <w:rsid w:val="00570999"/>
    <w:rsid w:val="00570D99"/>
    <w:rsid w:val="005724D5"/>
    <w:rsid w:val="00591564"/>
    <w:rsid w:val="00594C40"/>
    <w:rsid w:val="005A3DA1"/>
    <w:rsid w:val="005C546D"/>
    <w:rsid w:val="005D22D2"/>
    <w:rsid w:val="005D3973"/>
    <w:rsid w:val="005D755F"/>
    <w:rsid w:val="005E3995"/>
    <w:rsid w:val="005E4C24"/>
    <w:rsid w:val="005E667C"/>
    <w:rsid w:val="0062339D"/>
    <w:rsid w:val="00633C2F"/>
    <w:rsid w:val="006536C5"/>
    <w:rsid w:val="0067327A"/>
    <w:rsid w:val="00673570"/>
    <w:rsid w:val="00681794"/>
    <w:rsid w:val="006902D3"/>
    <w:rsid w:val="006935EB"/>
    <w:rsid w:val="00696219"/>
    <w:rsid w:val="00696848"/>
    <w:rsid w:val="006A0EF6"/>
    <w:rsid w:val="006A3D22"/>
    <w:rsid w:val="006B629B"/>
    <w:rsid w:val="006B7062"/>
    <w:rsid w:val="006E5576"/>
    <w:rsid w:val="006E57BD"/>
    <w:rsid w:val="006F37D3"/>
    <w:rsid w:val="006F48EA"/>
    <w:rsid w:val="006F4ED5"/>
    <w:rsid w:val="00705059"/>
    <w:rsid w:val="00716421"/>
    <w:rsid w:val="00727AD9"/>
    <w:rsid w:val="0074235A"/>
    <w:rsid w:val="00776141"/>
    <w:rsid w:val="007762E9"/>
    <w:rsid w:val="00785C32"/>
    <w:rsid w:val="00792EFA"/>
    <w:rsid w:val="00793C4F"/>
    <w:rsid w:val="00796D53"/>
    <w:rsid w:val="007A03AE"/>
    <w:rsid w:val="007A1682"/>
    <w:rsid w:val="007A1D25"/>
    <w:rsid w:val="007C28D5"/>
    <w:rsid w:val="007E2A00"/>
    <w:rsid w:val="007E7976"/>
    <w:rsid w:val="007F24E6"/>
    <w:rsid w:val="0080329E"/>
    <w:rsid w:val="008060EC"/>
    <w:rsid w:val="00816F80"/>
    <w:rsid w:val="00823303"/>
    <w:rsid w:val="00853FA3"/>
    <w:rsid w:val="00856243"/>
    <w:rsid w:val="0087341D"/>
    <w:rsid w:val="00875B00"/>
    <w:rsid w:val="00876E1E"/>
    <w:rsid w:val="00883E7B"/>
    <w:rsid w:val="008B217D"/>
    <w:rsid w:val="008B42FE"/>
    <w:rsid w:val="008B46B3"/>
    <w:rsid w:val="008F6B58"/>
    <w:rsid w:val="00916112"/>
    <w:rsid w:val="00920C74"/>
    <w:rsid w:val="00937C7B"/>
    <w:rsid w:val="00942E5B"/>
    <w:rsid w:val="009601E8"/>
    <w:rsid w:val="00967BE7"/>
    <w:rsid w:val="00970EB1"/>
    <w:rsid w:val="00987F53"/>
    <w:rsid w:val="009A19E9"/>
    <w:rsid w:val="009C142F"/>
    <w:rsid w:val="009C3F74"/>
    <w:rsid w:val="009D5411"/>
    <w:rsid w:val="009E0449"/>
    <w:rsid w:val="009E4514"/>
    <w:rsid w:val="009F688F"/>
    <w:rsid w:val="009F7B96"/>
    <w:rsid w:val="00A0055E"/>
    <w:rsid w:val="00A052ED"/>
    <w:rsid w:val="00A350E3"/>
    <w:rsid w:val="00A35E7D"/>
    <w:rsid w:val="00A406FA"/>
    <w:rsid w:val="00A44A1E"/>
    <w:rsid w:val="00A47606"/>
    <w:rsid w:val="00A60128"/>
    <w:rsid w:val="00A62288"/>
    <w:rsid w:val="00A70017"/>
    <w:rsid w:val="00A759A7"/>
    <w:rsid w:val="00A77300"/>
    <w:rsid w:val="00A91F5F"/>
    <w:rsid w:val="00AA1FBF"/>
    <w:rsid w:val="00AA3185"/>
    <w:rsid w:val="00AB0DB4"/>
    <w:rsid w:val="00AB5FF8"/>
    <w:rsid w:val="00AE5B90"/>
    <w:rsid w:val="00AE681D"/>
    <w:rsid w:val="00AF039F"/>
    <w:rsid w:val="00AF42FA"/>
    <w:rsid w:val="00AF48C9"/>
    <w:rsid w:val="00AF78BD"/>
    <w:rsid w:val="00B03516"/>
    <w:rsid w:val="00B07EAD"/>
    <w:rsid w:val="00B12CE0"/>
    <w:rsid w:val="00B130A1"/>
    <w:rsid w:val="00B24B11"/>
    <w:rsid w:val="00B26F18"/>
    <w:rsid w:val="00B327B7"/>
    <w:rsid w:val="00B332A6"/>
    <w:rsid w:val="00B628AE"/>
    <w:rsid w:val="00BA6EC1"/>
    <w:rsid w:val="00BB0059"/>
    <w:rsid w:val="00BB2AF7"/>
    <w:rsid w:val="00BF65FB"/>
    <w:rsid w:val="00BF7248"/>
    <w:rsid w:val="00C00C06"/>
    <w:rsid w:val="00C04F5C"/>
    <w:rsid w:val="00C24D8C"/>
    <w:rsid w:val="00C32459"/>
    <w:rsid w:val="00C5181C"/>
    <w:rsid w:val="00C5391E"/>
    <w:rsid w:val="00C60B23"/>
    <w:rsid w:val="00C63018"/>
    <w:rsid w:val="00C64FC7"/>
    <w:rsid w:val="00C65758"/>
    <w:rsid w:val="00C74AFC"/>
    <w:rsid w:val="00C82CF8"/>
    <w:rsid w:val="00CA7CA6"/>
    <w:rsid w:val="00CB490A"/>
    <w:rsid w:val="00CE4428"/>
    <w:rsid w:val="00CF63D7"/>
    <w:rsid w:val="00D0607A"/>
    <w:rsid w:val="00D13A32"/>
    <w:rsid w:val="00D217E8"/>
    <w:rsid w:val="00D25C52"/>
    <w:rsid w:val="00D27F00"/>
    <w:rsid w:val="00D3755E"/>
    <w:rsid w:val="00D40E82"/>
    <w:rsid w:val="00D42EB3"/>
    <w:rsid w:val="00D506AA"/>
    <w:rsid w:val="00D53934"/>
    <w:rsid w:val="00D62E81"/>
    <w:rsid w:val="00D91A60"/>
    <w:rsid w:val="00D942C4"/>
    <w:rsid w:val="00D966F6"/>
    <w:rsid w:val="00DA1054"/>
    <w:rsid w:val="00DB738E"/>
    <w:rsid w:val="00DD3BB9"/>
    <w:rsid w:val="00DE1ACA"/>
    <w:rsid w:val="00DE3202"/>
    <w:rsid w:val="00DF6D27"/>
    <w:rsid w:val="00E22BF7"/>
    <w:rsid w:val="00E240BE"/>
    <w:rsid w:val="00E25B38"/>
    <w:rsid w:val="00E30A03"/>
    <w:rsid w:val="00E34C80"/>
    <w:rsid w:val="00E36CE5"/>
    <w:rsid w:val="00E460D9"/>
    <w:rsid w:val="00E55680"/>
    <w:rsid w:val="00E66B8E"/>
    <w:rsid w:val="00E66DAC"/>
    <w:rsid w:val="00E74381"/>
    <w:rsid w:val="00E81102"/>
    <w:rsid w:val="00E83F28"/>
    <w:rsid w:val="00E85636"/>
    <w:rsid w:val="00EB0351"/>
    <w:rsid w:val="00EC23B6"/>
    <w:rsid w:val="00ED3609"/>
    <w:rsid w:val="00EE2E15"/>
    <w:rsid w:val="00EE4E88"/>
    <w:rsid w:val="00EE770E"/>
    <w:rsid w:val="00EE7A04"/>
    <w:rsid w:val="00EF1F6C"/>
    <w:rsid w:val="00EF3A45"/>
    <w:rsid w:val="00EF7226"/>
    <w:rsid w:val="00F035B9"/>
    <w:rsid w:val="00F1685C"/>
    <w:rsid w:val="00F319D3"/>
    <w:rsid w:val="00F50FF3"/>
    <w:rsid w:val="00F53860"/>
    <w:rsid w:val="00F80ACE"/>
    <w:rsid w:val="00F94A61"/>
    <w:rsid w:val="00FA59E6"/>
    <w:rsid w:val="00FA7104"/>
    <w:rsid w:val="00FB6D22"/>
    <w:rsid w:val="00FB73F2"/>
    <w:rsid w:val="00FC6619"/>
    <w:rsid w:val="00FF6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4D8C"/>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24D8C"/>
    <w:pPr>
      <w:tabs>
        <w:tab w:val="center" w:pos="4320"/>
        <w:tab w:val="right" w:pos="8640"/>
      </w:tabs>
    </w:pPr>
  </w:style>
  <w:style w:type="character" w:styleId="PageNumber">
    <w:name w:val="page number"/>
    <w:basedOn w:val="DefaultParagraphFont"/>
    <w:rsid w:val="00C24D8C"/>
  </w:style>
  <w:style w:type="table" w:styleId="TableGrid">
    <w:name w:val="Table Grid"/>
    <w:basedOn w:val="TableNormal"/>
    <w:rsid w:val="00C24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74AFC"/>
    <w:pPr>
      <w:tabs>
        <w:tab w:val="center" w:pos="4320"/>
        <w:tab w:val="right" w:pos="8640"/>
      </w:tabs>
    </w:pPr>
  </w:style>
  <w:style w:type="paragraph" w:styleId="FootnoteText">
    <w:name w:val="footnote text"/>
    <w:basedOn w:val="Normal"/>
    <w:link w:val="FootnoteTextChar"/>
    <w:rsid w:val="00C63018"/>
    <w:rPr>
      <w:sz w:val="20"/>
      <w:szCs w:val="20"/>
    </w:rPr>
  </w:style>
  <w:style w:type="character" w:customStyle="1" w:styleId="FootnoteTextChar">
    <w:name w:val="Footnote Text Char"/>
    <w:link w:val="FootnoteText"/>
    <w:rsid w:val="00C63018"/>
    <w:rPr>
      <w:rFonts w:ascii="Arial" w:hAnsi="Arial" w:cs="Arial"/>
    </w:rPr>
  </w:style>
  <w:style w:type="character" w:styleId="FootnoteReference">
    <w:name w:val="footnote reference"/>
    <w:rsid w:val="00C63018"/>
    <w:rPr>
      <w:vertAlign w:val="superscript"/>
    </w:rPr>
  </w:style>
  <w:style w:type="paragraph" w:styleId="ListParagraph">
    <w:name w:val="List Paragraph"/>
    <w:basedOn w:val="Normal"/>
    <w:uiPriority w:val="34"/>
    <w:qFormat/>
    <w:rsid w:val="000856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4D8C"/>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24D8C"/>
    <w:pPr>
      <w:tabs>
        <w:tab w:val="center" w:pos="4320"/>
        <w:tab w:val="right" w:pos="8640"/>
      </w:tabs>
    </w:pPr>
  </w:style>
  <w:style w:type="character" w:styleId="PageNumber">
    <w:name w:val="page number"/>
    <w:basedOn w:val="DefaultParagraphFont"/>
    <w:rsid w:val="00C24D8C"/>
  </w:style>
  <w:style w:type="table" w:styleId="TableGrid">
    <w:name w:val="Table Grid"/>
    <w:basedOn w:val="TableNormal"/>
    <w:rsid w:val="00C24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74AFC"/>
    <w:pPr>
      <w:tabs>
        <w:tab w:val="center" w:pos="4320"/>
        <w:tab w:val="right" w:pos="8640"/>
      </w:tabs>
    </w:pPr>
  </w:style>
  <w:style w:type="paragraph" w:styleId="FootnoteText">
    <w:name w:val="footnote text"/>
    <w:basedOn w:val="Normal"/>
    <w:link w:val="FootnoteTextChar"/>
    <w:rsid w:val="00C63018"/>
    <w:rPr>
      <w:sz w:val="20"/>
      <w:szCs w:val="20"/>
    </w:rPr>
  </w:style>
  <w:style w:type="character" w:customStyle="1" w:styleId="FootnoteTextChar">
    <w:name w:val="Footnote Text Char"/>
    <w:link w:val="FootnoteText"/>
    <w:rsid w:val="00C63018"/>
    <w:rPr>
      <w:rFonts w:ascii="Arial" w:hAnsi="Arial" w:cs="Arial"/>
    </w:rPr>
  </w:style>
  <w:style w:type="character" w:styleId="FootnoteReference">
    <w:name w:val="footnote reference"/>
    <w:rsid w:val="00C63018"/>
    <w:rPr>
      <w:vertAlign w:val="superscript"/>
    </w:rPr>
  </w:style>
  <w:style w:type="paragraph" w:styleId="ListParagraph">
    <w:name w:val="List Paragraph"/>
    <w:basedOn w:val="Normal"/>
    <w:uiPriority w:val="34"/>
    <w:qFormat/>
    <w:rsid w:val="000856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479222">
      <w:bodyDiv w:val="1"/>
      <w:marLeft w:val="0"/>
      <w:marRight w:val="0"/>
      <w:marTop w:val="0"/>
      <w:marBottom w:val="0"/>
      <w:divBdr>
        <w:top w:val="none" w:sz="0" w:space="0" w:color="auto"/>
        <w:left w:val="none" w:sz="0" w:space="0" w:color="auto"/>
        <w:bottom w:val="none" w:sz="0" w:space="0" w:color="auto"/>
        <w:right w:val="none" w:sz="0" w:space="0" w:color="auto"/>
      </w:divBdr>
      <w:divsChild>
        <w:div w:id="1724215417">
          <w:marLeft w:val="0"/>
          <w:marRight w:val="0"/>
          <w:marTop w:val="0"/>
          <w:marBottom w:val="0"/>
          <w:divBdr>
            <w:top w:val="none" w:sz="0" w:space="0" w:color="auto"/>
            <w:left w:val="none" w:sz="0" w:space="0" w:color="auto"/>
            <w:bottom w:val="none" w:sz="0" w:space="0" w:color="auto"/>
            <w:right w:val="none" w:sz="0" w:space="0" w:color="auto"/>
          </w:divBdr>
        </w:div>
        <w:div w:id="2013483955">
          <w:marLeft w:val="0"/>
          <w:marRight w:val="0"/>
          <w:marTop w:val="150"/>
          <w:marBottom w:val="0"/>
          <w:divBdr>
            <w:top w:val="none" w:sz="0" w:space="0" w:color="auto"/>
            <w:left w:val="none" w:sz="0" w:space="0" w:color="auto"/>
            <w:bottom w:val="none" w:sz="0" w:space="0" w:color="auto"/>
            <w:right w:val="none" w:sz="0" w:space="0" w:color="auto"/>
          </w:divBdr>
        </w:div>
      </w:divsChild>
    </w:div>
    <w:div w:id="482739318">
      <w:bodyDiv w:val="1"/>
      <w:marLeft w:val="0"/>
      <w:marRight w:val="0"/>
      <w:marTop w:val="0"/>
      <w:marBottom w:val="0"/>
      <w:divBdr>
        <w:top w:val="none" w:sz="0" w:space="0" w:color="auto"/>
        <w:left w:val="none" w:sz="0" w:space="0" w:color="auto"/>
        <w:bottom w:val="none" w:sz="0" w:space="0" w:color="auto"/>
        <w:right w:val="none" w:sz="0" w:space="0" w:color="auto"/>
      </w:divBdr>
      <w:divsChild>
        <w:div w:id="249123033">
          <w:marLeft w:val="0"/>
          <w:marRight w:val="0"/>
          <w:marTop w:val="0"/>
          <w:marBottom w:val="0"/>
          <w:divBdr>
            <w:top w:val="none" w:sz="0" w:space="0" w:color="auto"/>
            <w:left w:val="none" w:sz="0" w:space="0" w:color="auto"/>
            <w:bottom w:val="none" w:sz="0" w:space="0" w:color="auto"/>
            <w:right w:val="none" w:sz="0" w:space="0" w:color="auto"/>
          </w:divBdr>
        </w:div>
        <w:div w:id="1158426141">
          <w:marLeft w:val="0"/>
          <w:marRight w:val="0"/>
          <w:marTop w:val="150"/>
          <w:marBottom w:val="0"/>
          <w:divBdr>
            <w:top w:val="none" w:sz="0" w:space="0" w:color="auto"/>
            <w:left w:val="none" w:sz="0" w:space="0" w:color="auto"/>
            <w:bottom w:val="none" w:sz="0" w:space="0" w:color="auto"/>
            <w:right w:val="none" w:sz="0" w:space="0" w:color="auto"/>
          </w:divBdr>
          <w:divsChild>
            <w:div w:id="641427415">
              <w:marLeft w:val="0"/>
              <w:marRight w:val="0"/>
              <w:marTop w:val="150"/>
              <w:marBottom w:val="0"/>
              <w:divBdr>
                <w:top w:val="none" w:sz="0" w:space="0" w:color="auto"/>
                <w:left w:val="none" w:sz="0" w:space="0" w:color="auto"/>
                <w:bottom w:val="none" w:sz="0" w:space="0" w:color="auto"/>
                <w:right w:val="none" w:sz="0" w:space="0" w:color="auto"/>
              </w:divBdr>
            </w:div>
            <w:div w:id="660233635">
              <w:marLeft w:val="0"/>
              <w:marRight w:val="0"/>
              <w:marTop w:val="150"/>
              <w:marBottom w:val="0"/>
              <w:divBdr>
                <w:top w:val="none" w:sz="0" w:space="0" w:color="auto"/>
                <w:left w:val="none" w:sz="0" w:space="0" w:color="auto"/>
                <w:bottom w:val="none" w:sz="0" w:space="0" w:color="auto"/>
                <w:right w:val="none" w:sz="0" w:space="0" w:color="auto"/>
              </w:divBdr>
            </w:div>
            <w:div w:id="126800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07838">
      <w:bodyDiv w:val="1"/>
      <w:marLeft w:val="0"/>
      <w:marRight w:val="0"/>
      <w:marTop w:val="0"/>
      <w:marBottom w:val="0"/>
      <w:divBdr>
        <w:top w:val="none" w:sz="0" w:space="0" w:color="auto"/>
        <w:left w:val="none" w:sz="0" w:space="0" w:color="auto"/>
        <w:bottom w:val="none" w:sz="0" w:space="0" w:color="auto"/>
        <w:right w:val="none" w:sz="0" w:space="0" w:color="auto"/>
      </w:divBdr>
      <w:divsChild>
        <w:div w:id="411701821">
          <w:marLeft w:val="0"/>
          <w:marRight w:val="0"/>
          <w:marTop w:val="0"/>
          <w:marBottom w:val="0"/>
          <w:divBdr>
            <w:top w:val="none" w:sz="0" w:space="0" w:color="auto"/>
            <w:left w:val="none" w:sz="0" w:space="0" w:color="auto"/>
            <w:bottom w:val="none" w:sz="0" w:space="0" w:color="auto"/>
            <w:right w:val="none" w:sz="0" w:space="0" w:color="auto"/>
          </w:divBdr>
        </w:div>
        <w:div w:id="1135753891">
          <w:marLeft w:val="0"/>
          <w:marRight w:val="0"/>
          <w:marTop w:val="150"/>
          <w:marBottom w:val="0"/>
          <w:divBdr>
            <w:top w:val="none" w:sz="0" w:space="0" w:color="auto"/>
            <w:left w:val="none" w:sz="0" w:space="0" w:color="auto"/>
            <w:bottom w:val="none" w:sz="0" w:space="0" w:color="auto"/>
            <w:right w:val="none" w:sz="0" w:space="0" w:color="auto"/>
          </w:divBdr>
        </w:div>
      </w:divsChild>
    </w:div>
    <w:div w:id="767888116">
      <w:bodyDiv w:val="1"/>
      <w:marLeft w:val="0"/>
      <w:marRight w:val="0"/>
      <w:marTop w:val="0"/>
      <w:marBottom w:val="0"/>
      <w:divBdr>
        <w:top w:val="none" w:sz="0" w:space="0" w:color="auto"/>
        <w:left w:val="none" w:sz="0" w:space="0" w:color="auto"/>
        <w:bottom w:val="none" w:sz="0" w:space="0" w:color="auto"/>
        <w:right w:val="none" w:sz="0" w:space="0" w:color="auto"/>
      </w:divBdr>
      <w:divsChild>
        <w:div w:id="1809128408">
          <w:marLeft w:val="0"/>
          <w:marRight w:val="0"/>
          <w:marTop w:val="150"/>
          <w:marBottom w:val="0"/>
          <w:divBdr>
            <w:top w:val="none" w:sz="0" w:space="0" w:color="auto"/>
            <w:left w:val="none" w:sz="0" w:space="0" w:color="auto"/>
            <w:bottom w:val="none" w:sz="0" w:space="0" w:color="auto"/>
            <w:right w:val="none" w:sz="0" w:space="0" w:color="auto"/>
          </w:divBdr>
          <w:divsChild>
            <w:div w:id="1079016262">
              <w:marLeft w:val="0"/>
              <w:marRight w:val="0"/>
              <w:marTop w:val="150"/>
              <w:marBottom w:val="0"/>
              <w:divBdr>
                <w:top w:val="none" w:sz="0" w:space="0" w:color="auto"/>
                <w:left w:val="none" w:sz="0" w:space="0" w:color="auto"/>
                <w:bottom w:val="none" w:sz="0" w:space="0" w:color="auto"/>
                <w:right w:val="none" w:sz="0" w:space="0" w:color="auto"/>
              </w:divBdr>
            </w:div>
          </w:divsChild>
        </w:div>
        <w:div w:id="1918051469">
          <w:marLeft w:val="0"/>
          <w:marRight w:val="0"/>
          <w:marTop w:val="0"/>
          <w:marBottom w:val="0"/>
          <w:divBdr>
            <w:top w:val="none" w:sz="0" w:space="0" w:color="auto"/>
            <w:left w:val="none" w:sz="0" w:space="0" w:color="auto"/>
            <w:bottom w:val="none" w:sz="0" w:space="0" w:color="auto"/>
            <w:right w:val="none" w:sz="0" w:space="0" w:color="auto"/>
          </w:divBdr>
        </w:div>
      </w:divsChild>
    </w:div>
    <w:div w:id="1166170479">
      <w:bodyDiv w:val="1"/>
      <w:marLeft w:val="0"/>
      <w:marRight w:val="0"/>
      <w:marTop w:val="0"/>
      <w:marBottom w:val="0"/>
      <w:divBdr>
        <w:top w:val="none" w:sz="0" w:space="0" w:color="auto"/>
        <w:left w:val="none" w:sz="0" w:space="0" w:color="auto"/>
        <w:bottom w:val="none" w:sz="0" w:space="0" w:color="auto"/>
        <w:right w:val="none" w:sz="0" w:space="0" w:color="auto"/>
      </w:divBdr>
      <w:divsChild>
        <w:div w:id="1114135944">
          <w:marLeft w:val="0"/>
          <w:marRight w:val="0"/>
          <w:marTop w:val="0"/>
          <w:marBottom w:val="0"/>
          <w:divBdr>
            <w:top w:val="none" w:sz="0" w:space="0" w:color="auto"/>
            <w:left w:val="none" w:sz="0" w:space="0" w:color="auto"/>
            <w:bottom w:val="none" w:sz="0" w:space="0" w:color="auto"/>
            <w:right w:val="none" w:sz="0" w:space="0" w:color="auto"/>
          </w:divBdr>
        </w:div>
        <w:div w:id="1184978018">
          <w:marLeft w:val="0"/>
          <w:marRight w:val="0"/>
          <w:marTop w:val="150"/>
          <w:marBottom w:val="0"/>
          <w:divBdr>
            <w:top w:val="none" w:sz="0" w:space="0" w:color="auto"/>
            <w:left w:val="none" w:sz="0" w:space="0" w:color="auto"/>
            <w:bottom w:val="none" w:sz="0" w:space="0" w:color="auto"/>
            <w:right w:val="none" w:sz="0" w:space="0" w:color="auto"/>
          </w:divBdr>
        </w:div>
      </w:divsChild>
    </w:div>
    <w:div w:id="1468624088">
      <w:bodyDiv w:val="1"/>
      <w:marLeft w:val="0"/>
      <w:marRight w:val="0"/>
      <w:marTop w:val="0"/>
      <w:marBottom w:val="0"/>
      <w:divBdr>
        <w:top w:val="none" w:sz="0" w:space="0" w:color="auto"/>
        <w:left w:val="none" w:sz="0" w:space="0" w:color="auto"/>
        <w:bottom w:val="none" w:sz="0" w:space="0" w:color="auto"/>
        <w:right w:val="none" w:sz="0" w:space="0" w:color="auto"/>
      </w:divBdr>
      <w:divsChild>
        <w:div w:id="1867599882">
          <w:marLeft w:val="0"/>
          <w:marRight w:val="0"/>
          <w:marTop w:val="0"/>
          <w:marBottom w:val="0"/>
          <w:divBdr>
            <w:top w:val="none" w:sz="0" w:space="0" w:color="auto"/>
            <w:left w:val="none" w:sz="0" w:space="0" w:color="auto"/>
            <w:bottom w:val="none" w:sz="0" w:space="0" w:color="auto"/>
            <w:right w:val="none" w:sz="0" w:space="0" w:color="auto"/>
          </w:divBdr>
        </w:div>
        <w:div w:id="1990086931">
          <w:marLeft w:val="0"/>
          <w:marRight w:val="0"/>
          <w:marTop w:val="150"/>
          <w:marBottom w:val="0"/>
          <w:divBdr>
            <w:top w:val="none" w:sz="0" w:space="0" w:color="auto"/>
            <w:left w:val="none" w:sz="0" w:space="0" w:color="auto"/>
            <w:bottom w:val="none" w:sz="0" w:space="0" w:color="auto"/>
            <w:right w:val="none" w:sz="0" w:space="0" w:color="auto"/>
          </w:divBdr>
          <w:divsChild>
            <w:div w:id="264507299">
              <w:marLeft w:val="0"/>
              <w:marRight w:val="0"/>
              <w:marTop w:val="150"/>
              <w:marBottom w:val="0"/>
              <w:divBdr>
                <w:top w:val="none" w:sz="0" w:space="0" w:color="auto"/>
                <w:left w:val="none" w:sz="0" w:space="0" w:color="auto"/>
                <w:bottom w:val="none" w:sz="0" w:space="0" w:color="auto"/>
                <w:right w:val="none" w:sz="0" w:space="0" w:color="auto"/>
              </w:divBdr>
            </w:div>
            <w:div w:id="574897115">
              <w:marLeft w:val="0"/>
              <w:marRight w:val="0"/>
              <w:marTop w:val="150"/>
              <w:marBottom w:val="0"/>
              <w:divBdr>
                <w:top w:val="none" w:sz="0" w:space="0" w:color="auto"/>
                <w:left w:val="none" w:sz="0" w:space="0" w:color="auto"/>
                <w:bottom w:val="none" w:sz="0" w:space="0" w:color="auto"/>
                <w:right w:val="none" w:sz="0" w:space="0" w:color="auto"/>
              </w:divBdr>
            </w:div>
            <w:div w:id="885027278">
              <w:marLeft w:val="0"/>
              <w:marRight w:val="0"/>
              <w:marTop w:val="0"/>
              <w:marBottom w:val="0"/>
              <w:divBdr>
                <w:top w:val="none" w:sz="0" w:space="0" w:color="auto"/>
                <w:left w:val="none" w:sz="0" w:space="0" w:color="auto"/>
                <w:bottom w:val="none" w:sz="0" w:space="0" w:color="auto"/>
                <w:right w:val="none" w:sz="0" w:space="0" w:color="auto"/>
              </w:divBdr>
            </w:div>
            <w:div w:id="1009601586">
              <w:marLeft w:val="0"/>
              <w:marRight w:val="0"/>
              <w:marTop w:val="150"/>
              <w:marBottom w:val="0"/>
              <w:divBdr>
                <w:top w:val="none" w:sz="0" w:space="0" w:color="auto"/>
                <w:left w:val="none" w:sz="0" w:space="0" w:color="auto"/>
                <w:bottom w:val="none" w:sz="0" w:space="0" w:color="auto"/>
                <w:right w:val="none" w:sz="0" w:space="0" w:color="auto"/>
              </w:divBdr>
            </w:div>
            <w:div w:id="162596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54588">
      <w:bodyDiv w:val="1"/>
      <w:marLeft w:val="0"/>
      <w:marRight w:val="0"/>
      <w:marTop w:val="0"/>
      <w:marBottom w:val="0"/>
      <w:divBdr>
        <w:top w:val="none" w:sz="0" w:space="0" w:color="auto"/>
        <w:left w:val="none" w:sz="0" w:space="0" w:color="auto"/>
        <w:bottom w:val="none" w:sz="0" w:space="0" w:color="auto"/>
        <w:right w:val="none" w:sz="0" w:space="0" w:color="auto"/>
      </w:divBdr>
      <w:divsChild>
        <w:div w:id="244732205">
          <w:marLeft w:val="0"/>
          <w:marRight w:val="0"/>
          <w:marTop w:val="150"/>
          <w:marBottom w:val="0"/>
          <w:divBdr>
            <w:top w:val="none" w:sz="0" w:space="0" w:color="auto"/>
            <w:left w:val="none" w:sz="0" w:space="0" w:color="auto"/>
            <w:bottom w:val="none" w:sz="0" w:space="0" w:color="auto"/>
            <w:right w:val="none" w:sz="0" w:space="0" w:color="auto"/>
          </w:divBdr>
        </w:div>
        <w:div w:id="1751350314">
          <w:marLeft w:val="0"/>
          <w:marRight w:val="0"/>
          <w:marTop w:val="0"/>
          <w:marBottom w:val="0"/>
          <w:divBdr>
            <w:top w:val="none" w:sz="0" w:space="0" w:color="auto"/>
            <w:left w:val="none" w:sz="0" w:space="0" w:color="auto"/>
            <w:bottom w:val="none" w:sz="0" w:space="0" w:color="auto"/>
            <w:right w:val="none" w:sz="0" w:space="0" w:color="auto"/>
          </w:divBdr>
        </w:div>
      </w:divsChild>
    </w:div>
    <w:div w:id="1693070638">
      <w:bodyDiv w:val="1"/>
      <w:marLeft w:val="0"/>
      <w:marRight w:val="0"/>
      <w:marTop w:val="0"/>
      <w:marBottom w:val="0"/>
      <w:divBdr>
        <w:top w:val="none" w:sz="0" w:space="0" w:color="auto"/>
        <w:left w:val="none" w:sz="0" w:space="0" w:color="auto"/>
        <w:bottom w:val="none" w:sz="0" w:space="0" w:color="auto"/>
        <w:right w:val="none" w:sz="0" w:space="0" w:color="auto"/>
      </w:divBdr>
      <w:divsChild>
        <w:div w:id="824273486">
          <w:marLeft w:val="0"/>
          <w:marRight w:val="0"/>
          <w:marTop w:val="150"/>
          <w:marBottom w:val="0"/>
          <w:divBdr>
            <w:top w:val="none" w:sz="0" w:space="0" w:color="auto"/>
            <w:left w:val="none" w:sz="0" w:space="0" w:color="auto"/>
            <w:bottom w:val="none" w:sz="0" w:space="0" w:color="auto"/>
            <w:right w:val="none" w:sz="0" w:space="0" w:color="auto"/>
          </w:divBdr>
          <w:divsChild>
            <w:div w:id="290522774">
              <w:marLeft w:val="0"/>
              <w:marRight w:val="0"/>
              <w:marTop w:val="0"/>
              <w:marBottom w:val="0"/>
              <w:divBdr>
                <w:top w:val="none" w:sz="0" w:space="0" w:color="auto"/>
                <w:left w:val="none" w:sz="0" w:space="0" w:color="auto"/>
                <w:bottom w:val="none" w:sz="0" w:space="0" w:color="auto"/>
                <w:right w:val="none" w:sz="0" w:space="0" w:color="auto"/>
              </w:divBdr>
            </w:div>
            <w:div w:id="327178911">
              <w:marLeft w:val="0"/>
              <w:marRight w:val="0"/>
              <w:marTop w:val="150"/>
              <w:marBottom w:val="0"/>
              <w:divBdr>
                <w:top w:val="none" w:sz="0" w:space="0" w:color="auto"/>
                <w:left w:val="none" w:sz="0" w:space="0" w:color="auto"/>
                <w:bottom w:val="none" w:sz="0" w:space="0" w:color="auto"/>
                <w:right w:val="none" w:sz="0" w:space="0" w:color="auto"/>
              </w:divBdr>
            </w:div>
            <w:div w:id="631522083">
              <w:marLeft w:val="0"/>
              <w:marRight w:val="0"/>
              <w:marTop w:val="0"/>
              <w:marBottom w:val="0"/>
              <w:divBdr>
                <w:top w:val="none" w:sz="0" w:space="0" w:color="auto"/>
                <w:left w:val="none" w:sz="0" w:space="0" w:color="auto"/>
                <w:bottom w:val="none" w:sz="0" w:space="0" w:color="auto"/>
                <w:right w:val="none" w:sz="0" w:space="0" w:color="auto"/>
              </w:divBdr>
            </w:div>
            <w:div w:id="766313713">
              <w:marLeft w:val="0"/>
              <w:marRight w:val="0"/>
              <w:marTop w:val="0"/>
              <w:marBottom w:val="0"/>
              <w:divBdr>
                <w:top w:val="none" w:sz="0" w:space="0" w:color="auto"/>
                <w:left w:val="none" w:sz="0" w:space="0" w:color="auto"/>
                <w:bottom w:val="none" w:sz="0" w:space="0" w:color="auto"/>
                <w:right w:val="none" w:sz="0" w:space="0" w:color="auto"/>
              </w:divBdr>
            </w:div>
          </w:divsChild>
        </w:div>
        <w:div w:id="2087339887">
          <w:marLeft w:val="0"/>
          <w:marRight w:val="0"/>
          <w:marTop w:val="0"/>
          <w:marBottom w:val="0"/>
          <w:divBdr>
            <w:top w:val="none" w:sz="0" w:space="0" w:color="auto"/>
            <w:left w:val="none" w:sz="0" w:space="0" w:color="auto"/>
            <w:bottom w:val="none" w:sz="0" w:space="0" w:color="auto"/>
            <w:right w:val="none" w:sz="0" w:space="0" w:color="auto"/>
          </w:divBdr>
        </w:div>
      </w:divsChild>
    </w:div>
    <w:div w:id="1784109134">
      <w:bodyDiv w:val="1"/>
      <w:marLeft w:val="0"/>
      <w:marRight w:val="0"/>
      <w:marTop w:val="0"/>
      <w:marBottom w:val="0"/>
      <w:divBdr>
        <w:top w:val="none" w:sz="0" w:space="0" w:color="auto"/>
        <w:left w:val="none" w:sz="0" w:space="0" w:color="auto"/>
        <w:bottom w:val="none" w:sz="0" w:space="0" w:color="auto"/>
        <w:right w:val="none" w:sz="0" w:space="0" w:color="auto"/>
      </w:divBdr>
      <w:divsChild>
        <w:div w:id="1072123875">
          <w:marLeft w:val="0"/>
          <w:marRight w:val="0"/>
          <w:marTop w:val="0"/>
          <w:marBottom w:val="0"/>
          <w:divBdr>
            <w:top w:val="none" w:sz="0" w:space="0" w:color="auto"/>
            <w:left w:val="none" w:sz="0" w:space="0" w:color="auto"/>
            <w:bottom w:val="none" w:sz="0" w:space="0" w:color="auto"/>
            <w:right w:val="none" w:sz="0" w:space="0" w:color="auto"/>
          </w:divBdr>
        </w:div>
        <w:div w:id="1507599799">
          <w:marLeft w:val="0"/>
          <w:marRight w:val="0"/>
          <w:marTop w:val="150"/>
          <w:marBottom w:val="0"/>
          <w:divBdr>
            <w:top w:val="none" w:sz="0" w:space="0" w:color="auto"/>
            <w:left w:val="none" w:sz="0" w:space="0" w:color="auto"/>
            <w:bottom w:val="none" w:sz="0" w:space="0" w:color="auto"/>
            <w:right w:val="none" w:sz="0" w:space="0" w:color="auto"/>
          </w:divBdr>
          <w:divsChild>
            <w:div w:id="413161069">
              <w:marLeft w:val="0"/>
              <w:marRight w:val="0"/>
              <w:marTop w:val="0"/>
              <w:marBottom w:val="0"/>
              <w:divBdr>
                <w:top w:val="none" w:sz="0" w:space="0" w:color="auto"/>
                <w:left w:val="none" w:sz="0" w:space="0" w:color="auto"/>
                <w:bottom w:val="none" w:sz="0" w:space="0" w:color="auto"/>
                <w:right w:val="none" w:sz="0" w:space="0" w:color="auto"/>
              </w:divBdr>
            </w:div>
            <w:div w:id="653267353">
              <w:marLeft w:val="0"/>
              <w:marRight w:val="0"/>
              <w:marTop w:val="150"/>
              <w:marBottom w:val="0"/>
              <w:divBdr>
                <w:top w:val="none" w:sz="0" w:space="0" w:color="auto"/>
                <w:left w:val="none" w:sz="0" w:space="0" w:color="auto"/>
                <w:bottom w:val="none" w:sz="0" w:space="0" w:color="auto"/>
                <w:right w:val="none" w:sz="0" w:space="0" w:color="auto"/>
              </w:divBdr>
            </w:div>
            <w:div w:id="823087513">
              <w:marLeft w:val="0"/>
              <w:marRight w:val="0"/>
              <w:marTop w:val="150"/>
              <w:marBottom w:val="0"/>
              <w:divBdr>
                <w:top w:val="none" w:sz="0" w:space="0" w:color="auto"/>
                <w:left w:val="none" w:sz="0" w:space="0" w:color="auto"/>
                <w:bottom w:val="none" w:sz="0" w:space="0" w:color="auto"/>
                <w:right w:val="none" w:sz="0" w:space="0" w:color="auto"/>
              </w:divBdr>
            </w:div>
            <w:div w:id="1298493653">
              <w:marLeft w:val="0"/>
              <w:marRight w:val="0"/>
              <w:marTop w:val="150"/>
              <w:marBottom w:val="0"/>
              <w:divBdr>
                <w:top w:val="none" w:sz="0" w:space="0" w:color="auto"/>
                <w:left w:val="none" w:sz="0" w:space="0" w:color="auto"/>
                <w:bottom w:val="none" w:sz="0" w:space="0" w:color="auto"/>
                <w:right w:val="none" w:sz="0" w:space="0" w:color="auto"/>
              </w:divBdr>
            </w:div>
            <w:div w:id="1414552100">
              <w:marLeft w:val="0"/>
              <w:marRight w:val="0"/>
              <w:marTop w:val="0"/>
              <w:marBottom w:val="0"/>
              <w:divBdr>
                <w:top w:val="none" w:sz="0" w:space="0" w:color="auto"/>
                <w:left w:val="none" w:sz="0" w:space="0" w:color="auto"/>
                <w:bottom w:val="none" w:sz="0" w:space="0" w:color="auto"/>
                <w:right w:val="none" w:sz="0" w:space="0" w:color="auto"/>
              </w:divBdr>
            </w:div>
            <w:div w:id="1719085164">
              <w:marLeft w:val="0"/>
              <w:marRight w:val="0"/>
              <w:marTop w:val="150"/>
              <w:marBottom w:val="0"/>
              <w:divBdr>
                <w:top w:val="none" w:sz="0" w:space="0" w:color="auto"/>
                <w:left w:val="none" w:sz="0" w:space="0" w:color="auto"/>
                <w:bottom w:val="none" w:sz="0" w:space="0" w:color="auto"/>
                <w:right w:val="none" w:sz="0" w:space="0" w:color="auto"/>
              </w:divBdr>
            </w:div>
            <w:div w:id="20730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55876">
      <w:bodyDiv w:val="1"/>
      <w:marLeft w:val="0"/>
      <w:marRight w:val="0"/>
      <w:marTop w:val="0"/>
      <w:marBottom w:val="0"/>
      <w:divBdr>
        <w:top w:val="none" w:sz="0" w:space="0" w:color="auto"/>
        <w:left w:val="none" w:sz="0" w:space="0" w:color="auto"/>
        <w:bottom w:val="none" w:sz="0" w:space="0" w:color="auto"/>
        <w:right w:val="none" w:sz="0" w:space="0" w:color="auto"/>
      </w:divBdr>
      <w:divsChild>
        <w:div w:id="836844203">
          <w:marLeft w:val="0"/>
          <w:marRight w:val="0"/>
          <w:marTop w:val="0"/>
          <w:marBottom w:val="0"/>
          <w:divBdr>
            <w:top w:val="none" w:sz="0" w:space="0" w:color="auto"/>
            <w:left w:val="none" w:sz="0" w:space="0" w:color="auto"/>
            <w:bottom w:val="none" w:sz="0" w:space="0" w:color="auto"/>
            <w:right w:val="none" w:sz="0" w:space="0" w:color="auto"/>
          </w:divBdr>
        </w:div>
        <w:div w:id="1038043387">
          <w:marLeft w:val="0"/>
          <w:marRight w:val="0"/>
          <w:marTop w:val="150"/>
          <w:marBottom w:val="0"/>
          <w:divBdr>
            <w:top w:val="none" w:sz="0" w:space="0" w:color="auto"/>
            <w:left w:val="none" w:sz="0" w:space="0" w:color="auto"/>
            <w:bottom w:val="none" w:sz="0" w:space="0" w:color="auto"/>
            <w:right w:val="none" w:sz="0" w:space="0" w:color="auto"/>
          </w:divBdr>
          <w:divsChild>
            <w:div w:id="335621238">
              <w:marLeft w:val="0"/>
              <w:marRight w:val="0"/>
              <w:marTop w:val="150"/>
              <w:marBottom w:val="0"/>
              <w:divBdr>
                <w:top w:val="none" w:sz="0" w:space="0" w:color="auto"/>
                <w:left w:val="none" w:sz="0" w:space="0" w:color="auto"/>
                <w:bottom w:val="none" w:sz="0" w:space="0" w:color="auto"/>
                <w:right w:val="none" w:sz="0" w:space="0" w:color="auto"/>
              </w:divBdr>
            </w:div>
            <w:div w:id="983394506">
              <w:marLeft w:val="0"/>
              <w:marRight w:val="0"/>
              <w:marTop w:val="150"/>
              <w:marBottom w:val="0"/>
              <w:divBdr>
                <w:top w:val="none" w:sz="0" w:space="0" w:color="auto"/>
                <w:left w:val="none" w:sz="0" w:space="0" w:color="auto"/>
                <w:bottom w:val="none" w:sz="0" w:space="0" w:color="auto"/>
                <w:right w:val="none" w:sz="0" w:space="0" w:color="auto"/>
              </w:divBdr>
            </w:div>
            <w:div w:id="104544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D7BB4-6D08-41AC-9749-C13F92E4F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Georgia General Assembly</Company>
  <LinksUpToDate>false</LinksUpToDate>
  <CharactersWithSpaces>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emily.fisher</dc:creator>
  <cp:lastModifiedBy>Fiese, Angie</cp:lastModifiedBy>
  <cp:revision>2</cp:revision>
  <cp:lastPrinted>2015-03-18T18:46:00Z</cp:lastPrinted>
  <dcterms:created xsi:type="dcterms:W3CDTF">2015-04-06T13:40:00Z</dcterms:created>
  <dcterms:modified xsi:type="dcterms:W3CDTF">2015-04-06T13:40:00Z</dcterms:modified>
</cp:coreProperties>
</file>