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38" w:rsidRDefault="00BB0A84" w:rsidP="00C24D8C">
      <w:pPr>
        <w:jc w:val="both"/>
        <w:rPr>
          <w:b/>
        </w:rPr>
      </w:pPr>
      <w:r>
        <w:rPr>
          <w:b/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ge">
              <wp:posOffset>548640</wp:posOffset>
            </wp:positionV>
            <wp:extent cx="814070" cy="814070"/>
            <wp:effectExtent l="0" t="0" r="0" b="0"/>
            <wp:wrapNone/>
            <wp:docPr id="3" name="Picture 3" descr="674215512@08082006-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4215512@08082006-01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8C">
        <w:rPr>
          <w:b/>
        </w:rPr>
        <w:tab/>
      </w:r>
      <w:r w:rsidR="00C24D8C">
        <w:rPr>
          <w:b/>
        </w:rPr>
        <w:tab/>
      </w:r>
    </w:p>
    <w:p w:rsidR="00E25B38" w:rsidRDefault="00E25B38" w:rsidP="00E25B38">
      <w:pPr>
        <w:ind w:left="720" w:firstLine="720"/>
        <w:jc w:val="both"/>
        <w:rPr>
          <w:b/>
        </w:rPr>
      </w:pPr>
    </w:p>
    <w:p w:rsidR="00C24D8C" w:rsidRDefault="00BB0A84" w:rsidP="00E25B38">
      <w:pPr>
        <w:ind w:left="720" w:firstLine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5029200" cy="0"/>
                <wp:effectExtent l="9525" t="12065" r="9525" b="698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7pt" to="46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K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6n6WQBGmNE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"/>
            </w:pict>
          </mc:Fallback>
        </mc:AlternateContent>
      </w:r>
      <w:r w:rsidR="00C24D8C">
        <w:rPr>
          <w:b/>
        </w:rPr>
        <w:t>SENATE RESEARCH OFFICE</w:t>
      </w:r>
    </w:p>
    <w:p w:rsidR="00C24D8C" w:rsidRDefault="00C24D8C" w:rsidP="00E25B38">
      <w:pPr>
        <w:tabs>
          <w:tab w:val="left" w:pos="1440"/>
          <w:tab w:val="right" w:pos="9360"/>
        </w:tabs>
        <w:rPr>
          <w:b/>
        </w:rPr>
      </w:pPr>
      <w:r>
        <w:rPr>
          <w:b/>
        </w:rPr>
        <w:tab/>
      </w:r>
      <w:r w:rsidR="00516B5B">
        <w:rPr>
          <w:b/>
        </w:rPr>
        <w:t>2015</w:t>
      </w:r>
      <w:r w:rsidR="00511D71">
        <w:rPr>
          <w:b/>
        </w:rPr>
        <w:t xml:space="preserve"> Session</w:t>
      </w:r>
      <w:r w:rsidR="00E25B38">
        <w:rPr>
          <w:b/>
        </w:rPr>
        <w:tab/>
      </w:r>
      <w:r w:rsidR="00DC2BAE">
        <w:rPr>
          <w:b/>
        </w:rPr>
        <w:t>April 2</w:t>
      </w:r>
      <w:r w:rsidR="003D705B">
        <w:rPr>
          <w:b/>
        </w:rPr>
        <w:t>, 2015</w:t>
      </w:r>
    </w:p>
    <w:p w:rsidR="00C24D8C" w:rsidRDefault="00C24D8C" w:rsidP="00C24D8C">
      <w:pPr>
        <w:jc w:val="both"/>
        <w:rPr>
          <w:b/>
        </w:rPr>
      </w:pPr>
    </w:p>
    <w:tbl>
      <w:tblPr>
        <w:tblW w:w="9960" w:type="dxa"/>
        <w:tblInd w:w="-12" w:type="dxa"/>
        <w:tblLook w:val="01E0" w:firstRow="1" w:lastRow="1" w:firstColumn="1" w:lastColumn="1" w:noHBand="0" w:noVBand="0"/>
      </w:tblPr>
      <w:tblGrid>
        <w:gridCol w:w="5040"/>
        <w:gridCol w:w="4920"/>
      </w:tblGrid>
      <w:tr w:rsidR="00C24D8C" w:rsidRPr="00833663" w:rsidTr="00825529">
        <w:trPr>
          <w:trHeight w:val="360"/>
        </w:trPr>
        <w:tc>
          <w:tcPr>
            <w:tcW w:w="5040" w:type="dxa"/>
            <w:shd w:val="clear" w:color="auto" w:fill="auto"/>
            <w:vAlign w:val="center"/>
          </w:tcPr>
          <w:p w:rsidR="00C24D8C" w:rsidRPr="00833663" w:rsidRDefault="00C24D8C" w:rsidP="00C513ED">
            <w:pPr>
              <w:rPr>
                <w:sz w:val="18"/>
                <w:szCs w:val="18"/>
              </w:rPr>
            </w:pPr>
            <w:r w:rsidRPr="00833663">
              <w:rPr>
                <w:b/>
                <w:sz w:val="18"/>
                <w:szCs w:val="18"/>
              </w:rPr>
              <w:t xml:space="preserve">Bill: </w:t>
            </w:r>
            <w:r w:rsidR="007E7976" w:rsidRPr="00833663">
              <w:rPr>
                <w:sz w:val="18"/>
                <w:szCs w:val="18"/>
              </w:rPr>
              <w:tab/>
            </w:r>
            <w:r w:rsidR="007E7976" w:rsidRPr="00833663">
              <w:rPr>
                <w:sz w:val="18"/>
                <w:szCs w:val="18"/>
              </w:rPr>
              <w:tab/>
            </w:r>
            <w:r w:rsidR="003E3287" w:rsidRPr="00833663">
              <w:rPr>
                <w:sz w:val="18"/>
                <w:szCs w:val="18"/>
              </w:rPr>
              <w:t>HB 190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C24D8C" w:rsidRPr="00833663" w:rsidRDefault="00551907" w:rsidP="00C513ED">
            <w:pPr>
              <w:rPr>
                <w:sz w:val="18"/>
                <w:szCs w:val="18"/>
              </w:rPr>
            </w:pPr>
            <w:r w:rsidRPr="00833663">
              <w:rPr>
                <w:b/>
                <w:sz w:val="18"/>
                <w:szCs w:val="18"/>
              </w:rPr>
              <w:t xml:space="preserve">Sponsor: </w:t>
            </w:r>
            <w:r w:rsidRPr="00833663">
              <w:rPr>
                <w:sz w:val="18"/>
                <w:szCs w:val="18"/>
              </w:rPr>
              <w:tab/>
            </w:r>
            <w:r w:rsidR="003E3287" w:rsidRPr="00833663">
              <w:rPr>
                <w:sz w:val="18"/>
                <w:szCs w:val="18"/>
              </w:rPr>
              <w:t>Representative Golick of the 40</w:t>
            </w:r>
            <w:r w:rsidR="003E3287" w:rsidRPr="00833663">
              <w:rPr>
                <w:sz w:val="18"/>
                <w:szCs w:val="18"/>
                <w:vertAlign w:val="superscript"/>
              </w:rPr>
              <w:t>th</w:t>
            </w:r>
            <w:r w:rsidR="003E3287" w:rsidRPr="00833663">
              <w:rPr>
                <w:sz w:val="18"/>
                <w:szCs w:val="18"/>
              </w:rPr>
              <w:t xml:space="preserve"> </w:t>
            </w:r>
          </w:p>
        </w:tc>
      </w:tr>
      <w:tr w:rsidR="00551907" w:rsidRPr="00833663" w:rsidTr="009A19E9">
        <w:trPr>
          <w:trHeight w:val="275"/>
        </w:trPr>
        <w:tc>
          <w:tcPr>
            <w:tcW w:w="5040" w:type="dxa"/>
            <w:shd w:val="clear" w:color="auto" w:fill="auto"/>
            <w:vAlign w:val="center"/>
          </w:tcPr>
          <w:p w:rsidR="00551907" w:rsidRPr="00833663" w:rsidRDefault="00551907" w:rsidP="00825529">
            <w:pPr>
              <w:rPr>
                <w:sz w:val="18"/>
                <w:szCs w:val="18"/>
              </w:rPr>
            </w:pPr>
            <w:r w:rsidRPr="00833663">
              <w:rPr>
                <w:b/>
                <w:sz w:val="18"/>
                <w:szCs w:val="18"/>
              </w:rPr>
              <w:t>Version:</w:t>
            </w:r>
            <w:r w:rsidR="004002F4" w:rsidRPr="00833663">
              <w:rPr>
                <w:sz w:val="18"/>
                <w:szCs w:val="18"/>
              </w:rPr>
              <w:tab/>
            </w:r>
            <w:r w:rsidR="00867892" w:rsidRPr="00867892">
              <w:rPr>
                <w:sz w:val="18"/>
                <w:szCs w:val="18"/>
              </w:rPr>
              <w:t>HB 190/SCSFA/2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551907" w:rsidRPr="00833663" w:rsidRDefault="00551907" w:rsidP="00C513ED">
            <w:pPr>
              <w:rPr>
                <w:sz w:val="18"/>
                <w:szCs w:val="18"/>
              </w:rPr>
            </w:pPr>
            <w:r w:rsidRPr="00833663">
              <w:rPr>
                <w:b/>
                <w:sz w:val="18"/>
                <w:szCs w:val="18"/>
              </w:rPr>
              <w:t xml:space="preserve">Amends: </w:t>
            </w:r>
            <w:r w:rsidRPr="00833663">
              <w:rPr>
                <w:sz w:val="18"/>
                <w:szCs w:val="18"/>
              </w:rPr>
              <w:tab/>
            </w:r>
            <w:r w:rsidR="003264CC" w:rsidRPr="00833663">
              <w:rPr>
                <w:sz w:val="18"/>
                <w:szCs w:val="18"/>
              </w:rPr>
              <w:t xml:space="preserve">Title </w:t>
            </w:r>
            <w:r w:rsidR="003E3287" w:rsidRPr="00833663">
              <w:rPr>
                <w:sz w:val="18"/>
                <w:szCs w:val="18"/>
              </w:rPr>
              <w:t>33</w:t>
            </w:r>
          </w:p>
        </w:tc>
      </w:tr>
      <w:tr w:rsidR="00551907" w:rsidRPr="00833663" w:rsidTr="009A19E9">
        <w:trPr>
          <w:trHeight w:val="275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907" w:rsidRPr="00833663" w:rsidRDefault="00551907" w:rsidP="00DC2BAE">
            <w:pPr>
              <w:rPr>
                <w:sz w:val="18"/>
                <w:szCs w:val="18"/>
              </w:rPr>
            </w:pPr>
            <w:r w:rsidRPr="00833663">
              <w:rPr>
                <w:b/>
                <w:sz w:val="18"/>
                <w:szCs w:val="18"/>
              </w:rPr>
              <w:t>Status:</w:t>
            </w:r>
            <w:r w:rsidRPr="00833663">
              <w:rPr>
                <w:b/>
                <w:sz w:val="18"/>
                <w:szCs w:val="18"/>
              </w:rPr>
              <w:tab/>
            </w:r>
            <w:r w:rsidRPr="00833663">
              <w:rPr>
                <w:sz w:val="18"/>
                <w:szCs w:val="18"/>
              </w:rPr>
              <w:tab/>
            </w:r>
            <w:r w:rsidR="003B42CC" w:rsidRPr="00833663">
              <w:rPr>
                <w:sz w:val="18"/>
                <w:szCs w:val="18"/>
              </w:rPr>
              <w:t xml:space="preserve">As Passed </w:t>
            </w:r>
            <w:r w:rsidR="00DC2BAE">
              <w:rPr>
                <w:sz w:val="18"/>
                <w:szCs w:val="18"/>
              </w:rPr>
              <w:t>– Final Version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907" w:rsidRPr="00833663" w:rsidRDefault="00551907" w:rsidP="00C513ED">
            <w:pPr>
              <w:rPr>
                <w:sz w:val="18"/>
                <w:szCs w:val="18"/>
              </w:rPr>
            </w:pPr>
            <w:r w:rsidRPr="00833663">
              <w:rPr>
                <w:b/>
                <w:sz w:val="18"/>
                <w:szCs w:val="18"/>
              </w:rPr>
              <w:t>Committee:</w:t>
            </w:r>
            <w:r w:rsidR="004002F4" w:rsidRPr="00833663">
              <w:rPr>
                <w:sz w:val="18"/>
                <w:szCs w:val="18"/>
              </w:rPr>
              <w:tab/>
            </w:r>
            <w:r w:rsidR="003E3287" w:rsidRPr="00833663">
              <w:rPr>
                <w:sz w:val="18"/>
                <w:szCs w:val="18"/>
              </w:rPr>
              <w:t>Insurance and Labor</w:t>
            </w:r>
          </w:p>
        </w:tc>
      </w:tr>
    </w:tbl>
    <w:p w:rsidR="00EC23B6" w:rsidRDefault="00EC23B6" w:rsidP="00FD5A9D">
      <w:pPr>
        <w:jc w:val="both"/>
        <w:rPr>
          <w:b/>
          <w:sz w:val="20"/>
          <w:szCs w:val="20"/>
        </w:rPr>
      </w:pPr>
    </w:p>
    <w:p w:rsidR="00FC2F78" w:rsidRPr="00C513ED" w:rsidRDefault="00FC2F78" w:rsidP="00FC2F7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Rideshare – Mandatory Insurance Coverage</w:t>
      </w:r>
    </w:p>
    <w:p w:rsidR="00C513ED" w:rsidRDefault="00C513ED" w:rsidP="003264CC">
      <w:pPr>
        <w:jc w:val="both"/>
        <w:rPr>
          <w:sz w:val="20"/>
          <w:szCs w:val="20"/>
        </w:rPr>
      </w:pPr>
    </w:p>
    <w:p w:rsidR="003264CC" w:rsidRDefault="003264CC" w:rsidP="003264CC">
      <w:pPr>
        <w:jc w:val="both"/>
        <w:rPr>
          <w:b/>
          <w:sz w:val="20"/>
          <w:szCs w:val="20"/>
          <w:u w:val="single"/>
        </w:rPr>
      </w:pPr>
      <w:r w:rsidRPr="001C0BA3">
        <w:rPr>
          <w:b/>
          <w:sz w:val="20"/>
          <w:szCs w:val="20"/>
          <w:u w:val="single"/>
        </w:rPr>
        <w:t>SUMMARY</w:t>
      </w:r>
    </w:p>
    <w:p w:rsidR="009E7C5A" w:rsidRPr="00B904B1" w:rsidRDefault="00B904B1" w:rsidP="00B904B1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B904B1">
        <w:rPr>
          <w:sz w:val="20"/>
          <w:szCs w:val="20"/>
        </w:rPr>
        <w:t>Requires all Transportation Network Company (TNC)</w:t>
      </w:r>
      <w:r w:rsidRPr="00B904B1">
        <w:rPr>
          <w:sz w:val="20"/>
          <w:szCs w:val="20"/>
          <w:vertAlign w:val="superscript"/>
        </w:rPr>
        <w:footnoteReference w:id="1"/>
      </w:r>
      <w:r w:rsidRPr="00B904B1">
        <w:rPr>
          <w:sz w:val="20"/>
          <w:szCs w:val="20"/>
        </w:rPr>
        <w:t xml:space="preserve"> drivers to maintain minimum motor vehicle liability insurance coverage.</w:t>
      </w:r>
    </w:p>
    <w:p w:rsidR="00C513ED" w:rsidRDefault="00C513ED" w:rsidP="003264CC">
      <w:pPr>
        <w:jc w:val="both"/>
        <w:rPr>
          <w:sz w:val="20"/>
          <w:szCs w:val="20"/>
        </w:rPr>
      </w:pPr>
    </w:p>
    <w:p w:rsidR="003264CC" w:rsidRDefault="003264CC" w:rsidP="003264CC">
      <w:pPr>
        <w:jc w:val="both"/>
        <w:rPr>
          <w:b/>
          <w:sz w:val="20"/>
          <w:szCs w:val="20"/>
          <w:u w:val="single"/>
        </w:rPr>
      </w:pPr>
      <w:r w:rsidRPr="00C5391E">
        <w:rPr>
          <w:b/>
          <w:sz w:val="20"/>
          <w:szCs w:val="20"/>
          <w:u w:val="single"/>
        </w:rPr>
        <w:t>ANALYSIS</w:t>
      </w:r>
    </w:p>
    <w:p w:rsidR="00B91A4A" w:rsidRPr="00B91A4A" w:rsidRDefault="005C21F1" w:rsidP="00B91A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legislation requires </w:t>
      </w:r>
      <w:r w:rsidR="00D31090">
        <w:rPr>
          <w:sz w:val="20"/>
          <w:szCs w:val="20"/>
        </w:rPr>
        <w:t>TNCs</w:t>
      </w:r>
      <w:r w:rsidR="00B91A4A" w:rsidRPr="00B91A4A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B91A4A" w:rsidRPr="00B91A4A">
        <w:rPr>
          <w:sz w:val="20"/>
          <w:szCs w:val="20"/>
        </w:rPr>
        <w:t xml:space="preserve"> maintain </w:t>
      </w:r>
      <w:r w:rsidR="00542843">
        <w:rPr>
          <w:sz w:val="20"/>
          <w:szCs w:val="20"/>
        </w:rPr>
        <w:t xml:space="preserve">a </w:t>
      </w:r>
      <w:r w:rsidR="00B91A4A" w:rsidRPr="00B91A4A">
        <w:rPr>
          <w:sz w:val="20"/>
          <w:szCs w:val="20"/>
        </w:rPr>
        <w:t>primary</w:t>
      </w:r>
      <w:r>
        <w:rPr>
          <w:sz w:val="20"/>
          <w:szCs w:val="20"/>
        </w:rPr>
        <w:t xml:space="preserve"> </w:t>
      </w:r>
      <w:r w:rsidR="00B91A4A" w:rsidRPr="00B91A4A">
        <w:rPr>
          <w:sz w:val="20"/>
          <w:szCs w:val="20"/>
        </w:rPr>
        <w:t>motor vehicle insurance policy that:</w:t>
      </w:r>
    </w:p>
    <w:p w:rsidR="00FB7C93" w:rsidRDefault="00B91A4A" w:rsidP="00FB7C93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5C21F1">
        <w:rPr>
          <w:sz w:val="20"/>
          <w:szCs w:val="20"/>
        </w:rPr>
        <w:t xml:space="preserve">Recognizes the driver as a </w:t>
      </w:r>
      <w:r w:rsidR="007047F3">
        <w:rPr>
          <w:sz w:val="20"/>
          <w:szCs w:val="20"/>
        </w:rPr>
        <w:t>TNC</w:t>
      </w:r>
      <w:r w:rsidRPr="005C21F1">
        <w:rPr>
          <w:sz w:val="20"/>
          <w:szCs w:val="20"/>
        </w:rPr>
        <w:t xml:space="preserve"> driver and explicitly</w:t>
      </w:r>
      <w:r w:rsidR="005C21F1" w:rsidRPr="005C21F1">
        <w:rPr>
          <w:sz w:val="20"/>
          <w:szCs w:val="20"/>
        </w:rPr>
        <w:t xml:space="preserve"> </w:t>
      </w:r>
      <w:r w:rsidRPr="005C21F1">
        <w:rPr>
          <w:sz w:val="20"/>
          <w:szCs w:val="20"/>
        </w:rPr>
        <w:t xml:space="preserve">covers the driver's provision of </w:t>
      </w:r>
      <w:r w:rsidR="007047F3">
        <w:rPr>
          <w:sz w:val="20"/>
          <w:szCs w:val="20"/>
        </w:rPr>
        <w:t xml:space="preserve">TNC </w:t>
      </w:r>
      <w:r w:rsidRPr="005C21F1">
        <w:rPr>
          <w:sz w:val="20"/>
          <w:szCs w:val="20"/>
        </w:rPr>
        <w:t>services;</w:t>
      </w:r>
      <w:r w:rsidR="004C4E2B">
        <w:rPr>
          <w:rStyle w:val="FootnoteReference"/>
          <w:sz w:val="20"/>
          <w:szCs w:val="20"/>
        </w:rPr>
        <w:footnoteReference w:id="2"/>
      </w:r>
    </w:p>
    <w:p w:rsidR="00FB7C93" w:rsidRDefault="00EE1890" w:rsidP="00FB7C93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FB7C93">
        <w:rPr>
          <w:sz w:val="20"/>
          <w:szCs w:val="20"/>
        </w:rPr>
        <w:t>P</w:t>
      </w:r>
      <w:r w:rsidR="00141FED">
        <w:rPr>
          <w:sz w:val="20"/>
          <w:szCs w:val="20"/>
        </w:rPr>
        <w:t>rovides a minimum of $1</w:t>
      </w:r>
      <w:r w:rsidR="002540EA">
        <w:rPr>
          <w:sz w:val="20"/>
          <w:szCs w:val="20"/>
        </w:rPr>
        <w:t>00,000</w:t>
      </w:r>
      <w:r w:rsidR="00B91A4A" w:rsidRPr="00FB7C93">
        <w:rPr>
          <w:sz w:val="20"/>
          <w:szCs w:val="20"/>
        </w:rPr>
        <w:t xml:space="preserve"> for bodily injuries to</w:t>
      </w:r>
      <w:r w:rsidR="004C0416">
        <w:rPr>
          <w:sz w:val="20"/>
          <w:szCs w:val="20"/>
        </w:rPr>
        <w:t>,</w:t>
      </w:r>
      <w:r w:rsidR="00B91A4A" w:rsidRPr="00FB7C93">
        <w:rPr>
          <w:sz w:val="20"/>
          <w:szCs w:val="20"/>
        </w:rPr>
        <w:t xml:space="preserve"> or death of</w:t>
      </w:r>
      <w:r w:rsidR="004C0416">
        <w:rPr>
          <w:sz w:val="20"/>
          <w:szCs w:val="20"/>
        </w:rPr>
        <w:t>,</w:t>
      </w:r>
      <w:r w:rsidR="00B91A4A" w:rsidRPr="00FB7C93">
        <w:rPr>
          <w:sz w:val="20"/>
          <w:szCs w:val="20"/>
        </w:rPr>
        <w:t xml:space="preserve"> all persons in any</w:t>
      </w:r>
      <w:r w:rsidR="005C21F1" w:rsidRPr="00FB7C93">
        <w:rPr>
          <w:sz w:val="20"/>
          <w:szCs w:val="20"/>
        </w:rPr>
        <w:t xml:space="preserve"> </w:t>
      </w:r>
      <w:r w:rsidR="00B91A4A" w:rsidRPr="00FB7C93">
        <w:rPr>
          <w:sz w:val="20"/>
          <w:szCs w:val="20"/>
        </w:rPr>
        <w:t>one accident</w:t>
      </w:r>
      <w:r w:rsidR="00542843">
        <w:rPr>
          <w:sz w:val="20"/>
          <w:szCs w:val="20"/>
        </w:rPr>
        <w:t>;</w:t>
      </w:r>
      <w:r w:rsidR="002540EA">
        <w:rPr>
          <w:sz w:val="20"/>
          <w:szCs w:val="20"/>
        </w:rPr>
        <w:t xml:space="preserve"> with a maximum of $</w:t>
      </w:r>
      <w:r w:rsidR="00141FED">
        <w:rPr>
          <w:sz w:val="20"/>
          <w:szCs w:val="20"/>
        </w:rPr>
        <w:t>5</w:t>
      </w:r>
      <w:r w:rsidR="002540EA">
        <w:rPr>
          <w:sz w:val="20"/>
          <w:szCs w:val="20"/>
        </w:rPr>
        <w:t>0,000</w:t>
      </w:r>
      <w:r w:rsidR="00B91A4A" w:rsidRPr="00FB7C93">
        <w:rPr>
          <w:sz w:val="20"/>
          <w:szCs w:val="20"/>
        </w:rPr>
        <w:t xml:space="preserve"> for bodily injuries to or death of one</w:t>
      </w:r>
      <w:r w:rsidR="005C21F1" w:rsidRPr="00FB7C93">
        <w:rPr>
          <w:sz w:val="20"/>
          <w:szCs w:val="20"/>
        </w:rPr>
        <w:t xml:space="preserve"> </w:t>
      </w:r>
      <w:r w:rsidR="00B91A4A" w:rsidRPr="00FB7C93">
        <w:rPr>
          <w:sz w:val="20"/>
          <w:szCs w:val="20"/>
        </w:rPr>
        <w:t>person</w:t>
      </w:r>
      <w:r w:rsidR="00542843">
        <w:rPr>
          <w:sz w:val="20"/>
          <w:szCs w:val="20"/>
        </w:rPr>
        <w:t>;</w:t>
      </w:r>
      <w:r w:rsidR="002540EA">
        <w:rPr>
          <w:sz w:val="20"/>
          <w:szCs w:val="20"/>
        </w:rPr>
        <w:t xml:space="preserve"> and $</w:t>
      </w:r>
      <w:r w:rsidR="00141FED">
        <w:rPr>
          <w:sz w:val="20"/>
          <w:szCs w:val="20"/>
        </w:rPr>
        <w:t>5</w:t>
      </w:r>
      <w:r w:rsidR="00215651">
        <w:rPr>
          <w:sz w:val="20"/>
          <w:szCs w:val="20"/>
        </w:rPr>
        <w:t>0</w:t>
      </w:r>
      <w:r w:rsidR="002540EA">
        <w:rPr>
          <w:sz w:val="20"/>
          <w:szCs w:val="20"/>
        </w:rPr>
        <w:t>,000</w:t>
      </w:r>
      <w:r w:rsidR="00B91A4A" w:rsidRPr="00FB7C93">
        <w:rPr>
          <w:sz w:val="20"/>
          <w:szCs w:val="20"/>
        </w:rPr>
        <w:t xml:space="preserve"> for loss of or damage to property of others, excluding cargo, in</w:t>
      </w:r>
      <w:r w:rsidR="005C21F1" w:rsidRPr="00FB7C93">
        <w:rPr>
          <w:sz w:val="20"/>
          <w:szCs w:val="20"/>
        </w:rPr>
        <w:t xml:space="preserve"> </w:t>
      </w:r>
      <w:r w:rsidR="00B91A4A" w:rsidRPr="00FB7C93">
        <w:rPr>
          <w:sz w:val="20"/>
          <w:szCs w:val="20"/>
        </w:rPr>
        <w:t>any one ac</w:t>
      </w:r>
      <w:bookmarkStart w:id="0" w:name="_GoBack"/>
      <w:bookmarkEnd w:id="0"/>
      <w:r w:rsidR="00B91A4A" w:rsidRPr="00FB7C93">
        <w:rPr>
          <w:sz w:val="20"/>
          <w:szCs w:val="20"/>
        </w:rPr>
        <w:t>cident</w:t>
      </w:r>
      <w:r w:rsidRPr="00FB7C93">
        <w:rPr>
          <w:sz w:val="20"/>
          <w:szCs w:val="20"/>
        </w:rPr>
        <w:t>,</w:t>
      </w:r>
      <w:r w:rsidRPr="00EE1890">
        <w:t xml:space="preserve"> </w:t>
      </w:r>
      <w:r w:rsidRPr="00FB7C93">
        <w:rPr>
          <w:sz w:val="20"/>
          <w:szCs w:val="20"/>
        </w:rPr>
        <w:t xml:space="preserve">during the </w:t>
      </w:r>
      <w:r w:rsidR="00FB7C93" w:rsidRPr="00FB7C93">
        <w:rPr>
          <w:sz w:val="20"/>
          <w:szCs w:val="20"/>
        </w:rPr>
        <w:t xml:space="preserve">time a driver is logged on to the </w:t>
      </w:r>
      <w:r w:rsidR="007047F3">
        <w:rPr>
          <w:sz w:val="20"/>
          <w:szCs w:val="20"/>
        </w:rPr>
        <w:t>TNC’s</w:t>
      </w:r>
      <w:r w:rsidR="00FB7C93" w:rsidRPr="00FB7C93">
        <w:rPr>
          <w:sz w:val="20"/>
          <w:szCs w:val="20"/>
        </w:rPr>
        <w:t xml:space="preserve"> digital </w:t>
      </w:r>
      <w:r w:rsidR="00FB7C93" w:rsidRPr="00141FED">
        <w:rPr>
          <w:sz w:val="20"/>
          <w:szCs w:val="20"/>
        </w:rPr>
        <w:t>network</w:t>
      </w:r>
      <w:r w:rsidR="00141FED" w:rsidRPr="00141FED">
        <w:rPr>
          <w:sz w:val="20"/>
          <w:szCs w:val="20"/>
        </w:rPr>
        <w:t xml:space="preserve"> and available to accept a ride request until the driver is logged off</w:t>
      </w:r>
      <w:r w:rsidR="00415DBE">
        <w:rPr>
          <w:sz w:val="20"/>
          <w:szCs w:val="20"/>
        </w:rPr>
        <w:t>. This coverage is required in the absence of any other liability coverage with such minimum limits</w:t>
      </w:r>
      <w:r w:rsidR="00B91A4A" w:rsidRPr="00141FED">
        <w:rPr>
          <w:sz w:val="20"/>
          <w:szCs w:val="20"/>
        </w:rPr>
        <w:t>;</w:t>
      </w:r>
      <w:r w:rsidR="00415DBE">
        <w:rPr>
          <w:sz w:val="20"/>
          <w:szCs w:val="20"/>
        </w:rPr>
        <w:t xml:space="preserve"> and</w:t>
      </w:r>
    </w:p>
    <w:p w:rsidR="00415DBE" w:rsidRDefault="00EE1890" w:rsidP="00415DBE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FB7C93">
        <w:rPr>
          <w:sz w:val="20"/>
          <w:szCs w:val="20"/>
        </w:rPr>
        <w:t>P</w:t>
      </w:r>
      <w:r w:rsidR="00B91A4A" w:rsidRPr="00FB7C93">
        <w:rPr>
          <w:sz w:val="20"/>
          <w:szCs w:val="20"/>
        </w:rPr>
        <w:t>rovides a minimum of $1 million for death, personal injury, and property damage per</w:t>
      </w:r>
      <w:r w:rsidR="005C21F1" w:rsidRPr="00FB7C93">
        <w:rPr>
          <w:sz w:val="20"/>
          <w:szCs w:val="20"/>
        </w:rPr>
        <w:t xml:space="preserve"> </w:t>
      </w:r>
      <w:r w:rsidR="00B91A4A" w:rsidRPr="00FB7C93">
        <w:rPr>
          <w:sz w:val="20"/>
          <w:szCs w:val="20"/>
        </w:rPr>
        <w:t>occurrence and provides uninsured and underinsured motorist coverage of at least $1</w:t>
      </w:r>
      <w:r w:rsidR="005C21F1" w:rsidRPr="00FB7C93">
        <w:rPr>
          <w:sz w:val="20"/>
          <w:szCs w:val="20"/>
        </w:rPr>
        <w:t xml:space="preserve"> </w:t>
      </w:r>
      <w:r w:rsidR="00B91A4A" w:rsidRPr="00FB7C93">
        <w:rPr>
          <w:sz w:val="20"/>
          <w:szCs w:val="20"/>
        </w:rPr>
        <w:t>million per incident</w:t>
      </w:r>
      <w:r w:rsidRPr="00EE1890">
        <w:t xml:space="preserve"> </w:t>
      </w:r>
      <w:r w:rsidR="00FB7C93" w:rsidRPr="00FB7C93">
        <w:rPr>
          <w:sz w:val="20"/>
          <w:szCs w:val="20"/>
        </w:rPr>
        <w:t xml:space="preserve">during the time a driver </w:t>
      </w:r>
      <w:r w:rsidR="00E17880">
        <w:rPr>
          <w:sz w:val="20"/>
          <w:szCs w:val="20"/>
        </w:rPr>
        <w:t>accepts a ride request on the TNC’s digital network until the driver completes the transaction or the ride is complete, whichever is later</w:t>
      </w:r>
      <w:r w:rsidR="00415DBE">
        <w:rPr>
          <w:sz w:val="20"/>
          <w:szCs w:val="20"/>
        </w:rPr>
        <w:t>.</w:t>
      </w:r>
    </w:p>
    <w:p w:rsidR="006902D3" w:rsidRDefault="00415DBE" w:rsidP="00415DBE">
      <w:pPr>
        <w:pStyle w:val="ListParagraph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5496" w:rsidRDefault="00631640" w:rsidP="00FD5496">
      <w:pPr>
        <w:jc w:val="both"/>
        <w:rPr>
          <w:sz w:val="20"/>
          <w:szCs w:val="20"/>
        </w:rPr>
      </w:pPr>
      <w:r>
        <w:rPr>
          <w:sz w:val="20"/>
          <w:szCs w:val="20"/>
        </w:rPr>
        <w:t>This legislation authorizes personal vehicle insur</w:t>
      </w:r>
      <w:r w:rsidR="0044686B">
        <w:rPr>
          <w:sz w:val="20"/>
          <w:szCs w:val="20"/>
        </w:rPr>
        <w:t xml:space="preserve">ance policies to exclude coverage for any loss or injury that occurs </w:t>
      </w:r>
      <w:r w:rsidR="00D13B12" w:rsidRPr="00D13B12">
        <w:rPr>
          <w:sz w:val="20"/>
          <w:szCs w:val="20"/>
        </w:rPr>
        <w:t xml:space="preserve">while a driver is logged on to a </w:t>
      </w:r>
      <w:r w:rsidR="00D13B12">
        <w:rPr>
          <w:sz w:val="20"/>
          <w:szCs w:val="20"/>
        </w:rPr>
        <w:t>TNC’s</w:t>
      </w:r>
      <w:r w:rsidR="00D13B12" w:rsidRPr="00D13B12">
        <w:rPr>
          <w:sz w:val="20"/>
          <w:szCs w:val="20"/>
        </w:rPr>
        <w:t xml:space="preserve"> digital network or</w:t>
      </w:r>
      <w:r w:rsidR="00D13B12">
        <w:rPr>
          <w:sz w:val="20"/>
          <w:szCs w:val="20"/>
        </w:rPr>
        <w:t xml:space="preserve"> </w:t>
      </w:r>
      <w:r w:rsidR="00D13B12" w:rsidRPr="00D13B12">
        <w:rPr>
          <w:sz w:val="20"/>
          <w:szCs w:val="20"/>
        </w:rPr>
        <w:t>while provid</w:t>
      </w:r>
      <w:r w:rsidR="00D13B12">
        <w:rPr>
          <w:sz w:val="20"/>
          <w:szCs w:val="20"/>
        </w:rPr>
        <w:t>ing</w:t>
      </w:r>
      <w:r w:rsidR="00D13B12" w:rsidRPr="00D13B12">
        <w:rPr>
          <w:sz w:val="20"/>
          <w:szCs w:val="20"/>
        </w:rPr>
        <w:t xml:space="preserve"> </w:t>
      </w:r>
      <w:r w:rsidR="00D13B12">
        <w:rPr>
          <w:sz w:val="20"/>
          <w:szCs w:val="20"/>
        </w:rPr>
        <w:t>TNC</w:t>
      </w:r>
      <w:r w:rsidR="00D13B12" w:rsidRPr="00D13B12">
        <w:rPr>
          <w:sz w:val="20"/>
          <w:szCs w:val="20"/>
        </w:rPr>
        <w:t xml:space="preserve"> services. </w:t>
      </w:r>
      <w:r w:rsidR="00833663">
        <w:rPr>
          <w:sz w:val="20"/>
          <w:szCs w:val="20"/>
        </w:rPr>
        <w:t>However</w:t>
      </w:r>
      <w:r w:rsidR="00FF2B51">
        <w:rPr>
          <w:sz w:val="20"/>
          <w:szCs w:val="20"/>
        </w:rPr>
        <w:t>, insurers may o</w:t>
      </w:r>
      <w:r>
        <w:rPr>
          <w:sz w:val="20"/>
          <w:szCs w:val="20"/>
        </w:rPr>
        <w:t>ffer a personal policy, amendment, or an endorsement that covers a driver’s vehicle while being used for TNC services.</w:t>
      </w:r>
      <w:r w:rsidR="00833663">
        <w:rPr>
          <w:sz w:val="20"/>
          <w:szCs w:val="20"/>
        </w:rPr>
        <w:t xml:space="preserve"> </w:t>
      </w:r>
      <w:r w:rsidR="00F05EAC" w:rsidRPr="00F05EAC">
        <w:rPr>
          <w:sz w:val="20"/>
          <w:szCs w:val="20"/>
        </w:rPr>
        <w:t xml:space="preserve">The </w:t>
      </w:r>
      <w:r w:rsidR="00D31090">
        <w:rPr>
          <w:sz w:val="20"/>
          <w:szCs w:val="20"/>
        </w:rPr>
        <w:t>insurance requirements may be satisfied by either a</w:t>
      </w:r>
      <w:r w:rsidR="00F05EAC" w:rsidRPr="00F05EAC">
        <w:rPr>
          <w:sz w:val="20"/>
          <w:szCs w:val="20"/>
        </w:rPr>
        <w:t xml:space="preserve"> commercial motor vehicle insurance </w:t>
      </w:r>
      <w:r w:rsidR="003E3287">
        <w:rPr>
          <w:sz w:val="20"/>
          <w:szCs w:val="20"/>
        </w:rPr>
        <w:t>coverage</w:t>
      </w:r>
      <w:r w:rsidR="00F05EAC" w:rsidRPr="00F05EAC">
        <w:rPr>
          <w:sz w:val="20"/>
          <w:szCs w:val="20"/>
        </w:rPr>
        <w:t xml:space="preserve"> purchased by </w:t>
      </w:r>
      <w:r w:rsidR="00F250F9">
        <w:rPr>
          <w:sz w:val="20"/>
          <w:szCs w:val="20"/>
        </w:rPr>
        <w:t xml:space="preserve">the </w:t>
      </w:r>
      <w:r w:rsidR="00D31090">
        <w:rPr>
          <w:sz w:val="20"/>
          <w:szCs w:val="20"/>
        </w:rPr>
        <w:t>TNC</w:t>
      </w:r>
      <w:r w:rsidR="00F05EAC" w:rsidRPr="00F05EAC">
        <w:rPr>
          <w:sz w:val="20"/>
          <w:szCs w:val="20"/>
        </w:rPr>
        <w:t xml:space="preserve"> or</w:t>
      </w:r>
      <w:r w:rsidR="00F250F9">
        <w:rPr>
          <w:sz w:val="20"/>
          <w:szCs w:val="20"/>
        </w:rPr>
        <w:t xml:space="preserve"> by the driver</w:t>
      </w:r>
      <w:r w:rsidR="00FD5496">
        <w:rPr>
          <w:sz w:val="20"/>
          <w:szCs w:val="20"/>
        </w:rPr>
        <w:t xml:space="preserve">. The requirement may also be </w:t>
      </w:r>
      <w:r w:rsidR="00433F29">
        <w:rPr>
          <w:sz w:val="20"/>
          <w:szCs w:val="20"/>
        </w:rPr>
        <w:t xml:space="preserve">satisfied </w:t>
      </w:r>
      <w:r w:rsidR="002540EA">
        <w:rPr>
          <w:sz w:val="20"/>
          <w:szCs w:val="20"/>
        </w:rPr>
        <w:t>by a rider</w:t>
      </w:r>
      <w:r w:rsidR="00FD5496" w:rsidRPr="00FD5496">
        <w:rPr>
          <w:sz w:val="20"/>
          <w:szCs w:val="20"/>
        </w:rPr>
        <w:t xml:space="preserve"> </w:t>
      </w:r>
      <w:r w:rsidR="00FD5496">
        <w:rPr>
          <w:sz w:val="20"/>
          <w:szCs w:val="20"/>
        </w:rPr>
        <w:t xml:space="preserve">to </w:t>
      </w:r>
      <w:r w:rsidR="00FD5496" w:rsidRPr="00FD5496">
        <w:rPr>
          <w:sz w:val="20"/>
          <w:szCs w:val="20"/>
        </w:rPr>
        <w:t xml:space="preserve">the driver's </w:t>
      </w:r>
      <w:r w:rsidR="00FD5496">
        <w:rPr>
          <w:sz w:val="20"/>
          <w:szCs w:val="20"/>
        </w:rPr>
        <w:t xml:space="preserve">liability </w:t>
      </w:r>
      <w:r w:rsidR="00FD5496" w:rsidRPr="00FD5496">
        <w:rPr>
          <w:sz w:val="20"/>
          <w:szCs w:val="20"/>
        </w:rPr>
        <w:t>policy which may be</w:t>
      </w:r>
      <w:r w:rsidR="00FD5496">
        <w:rPr>
          <w:sz w:val="20"/>
          <w:szCs w:val="20"/>
        </w:rPr>
        <w:t xml:space="preserve"> </w:t>
      </w:r>
      <w:r w:rsidR="00FD5496" w:rsidRPr="00FD5496">
        <w:rPr>
          <w:sz w:val="20"/>
          <w:szCs w:val="20"/>
        </w:rPr>
        <w:t>combined with an excess policy provided by the</w:t>
      </w:r>
      <w:r w:rsidR="00433F29">
        <w:rPr>
          <w:sz w:val="20"/>
          <w:szCs w:val="20"/>
        </w:rPr>
        <w:t xml:space="preserve"> </w:t>
      </w:r>
      <w:r w:rsidR="00FF2B51">
        <w:rPr>
          <w:sz w:val="20"/>
          <w:szCs w:val="20"/>
        </w:rPr>
        <w:t>TNC</w:t>
      </w:r>
      <w:r w:rsidR="00833663">
        <w:rPr>
          <w:sz w:val="20"/>
          <w:szCs w:val="20"/>
        </w:rPr>
        <w:t xml:space="preserve"> but a </w:t>
      </w:r>
      <w:r w:rsidR="00833663" w:rsidRPr="00833663">
        <w:rPr>
          <w:sz w:val="20"/>
          <w:szCs w:val="20"/>
        </w:rPr>
        <w:t>driver's policy will not provide any coverage to the driver or any third party, unless the policy expressly provides for such coverage.</w:t>
      </w:r>
    </w:p>
    <w:p w:rsidR="00FD5496" w:rsidRDefault="00FD5496" w:rsidP="00D107C7">
      <w:pPr>
        <w:jc w:val="both"/>
        <w:rPr>
          <w:sz w:val="20"/>
          <w:szCs w:val="20"/>
        </w:rPr>
      </w:pPr>
    </w:p>
    <w:p w:rsidR="000675D9" w:rsidRDefault="007047F3" w:rsidP="00D107C7">
      <w:pPr>
        <w:jc w:val="both"/>
        <w:rPr>
          <w:sz w:val="20"/>
          <w:szCs w:val="20"/>
        </w:rPr>
      </w:pPr>
      <w:r w:rsidRPr="007047F3">
        <w:rPr>
          <w:sz w:val="20"/>
          <w:szCs w:val="20"/>
        </w:rPr>
        <w:t xml:space="preserve">A </w:t>
      </w:r>
      <w:r w:rsidR="00E01DCC">
        <w:rPr>
          <w:sz w:val="20"/>
          <w:szCs w:val="20"/>
        </w:rPr>
        <w:t>TNC</w:t>
      </w:r>
      <w:r w:rsidRPr="007047F3">
        <w:rPr>
          <w:sz w:val="20"/>
          <w:szCs w:val="20"/>
        </w:rPr>
        <w:t xml:space="preserve"> that purchases </w:t>
      </w:r>
      <w:r w:rsidR="00E01DCC">
        <w:rPr>
          <w:sz w:val="20"/>
          <w:szCs w:val="20"/>
        </w:rPr>
        <w:t>the policy must</w:t>
      </w:r>
      <w:r w:rsidRPr="007047F3">
        <w:rPr>
          <w:sz w:val="20"/>
          <w:szCs w:val="20"/>
        </w:rPr>
        <w:t xml:space="preserve"> provide the policy to the </w:t>
      </w:r>
      <w:r w:rsidR="00E01DCC">
        <w:rPr>
          <w:sz w:val="20"/>
          <w:szCs w:val="20"/>
        </w:rPr>
        <w:t xml:space="preserve">Insurance </w:t>
      </w:r>
      <w:r w:rsidRPr="007047F3">
        <w:rPr>
          <w:sz w:val="20"/>
          <w:szCs w:val="20"/>
        </w:rPr>
        <w:t>Commissioner.</w:t>
      </w:r>
      <w:r w:rsidR="00E01DCC">
        <w:rPr>
          <w:sz w:val="20"/>
          <w:szCs w:val="20"/>
        </w:rPr>
        <w:t xml:space="preserve"> If purchased by the </w:t>
      </w:r>
      <w:r w:rsidRPr="007047F3">
        <w:rPr>
          <w:sz w:val="20"/>
          <w:szCs w:val="20"/>
        </w:rPr>
        <w:t>driver</w:t>
      </w:r>
      <w:r w:rsidR="00E01DCC">
        <w:rPr>
          <w:sz w:val="20"/>
          <w:szCs w:val="20"/>
        </w:rPr>
        <w:t xml:space="preserve">, then the driver </w:t>
      </w:r>
      <w:r w:rsidRPr="007047F3">
        <w:rPr>
          <w:sz w:val="20"/>
          <w:szCs w:val="20"/>
        </w:rPr>
        <w:t>submit</w:t>
      </w:r>
      <w:r w:rsidR="00E01DCC">
        <w:rPr>
          <w:sz w:val="20"/>
          <w:szCs w:val="20"/>
        </w:rPr>
        <w:t>s</w:t>
      </w:r>
      <w:r w:rsidRPr="007047F3">
        <w:rPr>
          <w:sz w:val="20"/>
          <w:szCs w:val="20"/>
        </w:rPr>
        <w:t xml:space="preserve"> verification </w:t>
      </w:r>
      <w:r w:rsidR="00E01DCC">
        <w:rPr>
          <w:sz w:val="20"/>
          <w:szCs w:val="20"/>
        </w:rPr>
        <w:t>to the TNC</w:t>
      </w:r>
      <w:r w:rsidRPr="007047F3">
        <w:rPr>
          <w:sz w:val="20"/>
          <w:szCs w:val="20"/>
        </w:rPr>
        <w:t xml:space="preserve">. </w:t>
      </w:r>
      <w:r w:rsidR="00135F5D">
        <w:rPr>
          <w:sz w:val="20"/>
          <w:szCs w:val="20"/>
        </w:rPr>
        <w:t>T</w:t>
      </w:r>
      <w:r w:rsidR="00135F5D" w:rsidRPr="00135F5D">
        <w:rPr>
          <w:sz w:val="20"/>
          <w:szCs w:val="20"/>
        </w:rPr>
        <w:t xml:space="preserve">he TNC must provide coverage </w:t>
      </w:r>
      <w:r w:rsidR="00135F5D">
        <w:rPr>
          <w:sz w:val="20"/>
          <w:szCs w:val="20"/>
        </w:rPr>
        <w:t>anytime</w:t>
      </w:r>
      <w:r w:rsidRPr="007047F3">
        <w:rPr>
          <w:sz w:val="20"/>
          <w:szCs w:val="20"/>
        </w:rPr>
        <w:t xml:space="preserve"> the insurance maintained by a driver has lapsed.</w:t>
      </w:r>
      <w:r w:rsidR="00617288">
        <w:rPr>
          <w:sz w:val="20"/>
          <w:szCs w:val="20"/>
        </w:rPr>
        <w:t xml:space="preserve"> </w:t>
      </w:r>
      <w:r w:rsidR="000675D9">
        <w:rPr>
          <w:sz w:val="20"/>
          <w:szCs w:val="20"/>
        </w:rPr>
        <w:t>TNC drivers must notify their vehicle’s lienholder</w:t>
      </w:r>
      <w:r w:rsidR="004C0416">
        <w:rPr>
          <w:sz w:val="20"/>
          <w:szCs w:val="20"/>
        </w:rPr>
        <w:t>,</w:t>
      </w:r>
      <w:r w:rsidR="000675D9">
        <w:rPr>
          <w:sz w:val="20"/>
          <w:szCs w:val="20"/>
        </w:rPr>
        <w:t xml:space="preserve"> if one exists.</w:t>
      </w:r>
    </w:p>
    <w:p w:rsidR="00FC2F78" w:rsidRDefault="00FC2F78" w:rsidP="00D107C7">
      <w:pPr>
        <w:jc w:val="both"/>
        <w:rPr>
          <w:sz w:val="20"/>
          <w:szCs w:val="20"/>
        </w:rPr>
      </w:pPr>
    </w:p>
    <w:p w:rsidR="00FC2F78" w:rsidRDefault="00FC2F78" w:rsidP="001D6EED">
      <w:pPr>
        <w:jc w:val="both"/>
        <w:rPr>
          <w:sz w:val="20"/>
          <w:szCs w:val="20"/>
        </w:rPr>
      </w:pPr>
      <w:r w:rsidRPr="00FC2F78">
        <w:rPr>
          <w:sz w:val="20"/>
          <w:szCs w:val="20"/>
        </w:rPr>
        <w:t>When a TNC is providing primary insurance coverage, it</w:t>
      </w:r>
      <w:r w:rsidR="000675D9">
        <w:rPr>
          <w:sz w:val="20"/>
          <w:szCs w:val="20"/>
        </w:rPr>
        <w:t>s insurer</w:t>
      </w:r>
      <w:r w:rsidRPr="00FC2F78">
        <w:rPr>
          <w:sz w:val="20"/>
          <w:szCs w:val="20"/>
        </w:rPr>
        <w:t xml:space="preserve"> must assume the costs of defense and indemnification. Additionally, the TNC will have the duty to defend and indemnify the TNC driver and the TNC driver's insurer when</w:t>
      </w:r>
      <w:r w:rsidR="001D6EED">
        <w:rPr>
          <w:sz w:val="20"/>
          <w:szCs w:val="20"/>
        </w:rPr>
        <w:t xml:space="preserve"> they are named as a defendant</w:t>
      </w:r>
      <w:r w:rsidR="00937572">
        <w:rPr>
          <w:sz w:val="20"/>
          <w:szCs w:val="20"/>
        </w:rPr>
        <w:t>.</w:t>
      </w:r>
      <w:r w:rsidR="001D6EED">
        <w:rPr>
          <w:sz w:val="20"/>
          <w:szCs w:val="20"/>
        </w:rPr>
        <w:t xml:space="preserve"> TNC coverage may</w:t>
      </w:r>
      <w:r w:rsidR="001D6EED" w:rsidRPr="001D6EED">
        <w:rPr>
          <w:sz w:val="20"/>
          <w:szCs w:val="20"/>
        </w:rPr>
        <w:t xml:space="preserve"> not be</w:t>
      </w:r>
      <w:r w:rsidR="001D6EED">
        <w:rPr>
          <w:sz w:val="20"/>
          <w:szCs w:val="20"/>
        </w:rPr>
        <w:t xml:space="preserve"> </w:t>
      </w:r>
      <w:r w:rsidR="001D6EED" w:rsidRPr="001D6EED">
        <w:rPr>
          <w:sz w:val="20"/>
          <w:szCs w:val="20"/>
        </w:rPr>
        <w:t xml:space="preserve">dependent on a personal vehicle insurer first denying a claim nor </w:t>
      </w:r>
      <w:r w:rsidR="00937572">
        <w:rPr>
          <w:sz w:val="20"/>
          <w:szCs w:val="20"/>
        </w:rPr>
        <w:t>may</w:t>
      </w:r>
      <w:r w:rsidR="001D6EED" w:rsidRPr="001D6EED">
        <w:rPr>
          <w:sz w:val="20"/>
          <w:szCs w:val="20"/>
        </w:rPr>
        <w:t xml:space="preserve"> a personal policy be required to first deny a claim. </w:t>
      </w:r>
      <w:r w:rsidRPr="00FC2F78">
        <w:rPr>
          <w:sz w:val="20"/>
          <w:szCs w:val="20"/>
        </w:rPr>
        <w:t>The TNC must notify the TNC driver and the TNC driver's insurer of any dispute within 25 business days of receiving notice of the accident.</w:t>
      </w:r>
    </w:p>
    <w:p w:rsidR="00B25CA8" w:rsidRDefault="00B25CA8" w:rsidP="001D6EED">
      <w:pPr>
        <w:jc w:val="both"/>
        <w:rPr>
          <w:sz w:val="20"/>
          <w:szCs w:val="20"/>
        </w:rPr>
      </w:pPr>
    </w:p>
    <w:p w:rsidR="003B42CC" w:rsidRDefault="003B42CC" w:rsidP="00D107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legislation goes into effect on </w:t>
      </w:r>
      <w:r w:rsidR="00B25CA8">
        <w:rPr>
          <w:sz w:val="20"/>
          <w:szCs w:val="20"/>
        </w:rPr>
        <w:t>January</w:t>
      </w:r>
      <w:r>
        <w:rPr>
          <w:sz w:val="20"/>
          <w:szCs w:val="20"/>
        </w:rPr>
        <w:t xml:space="preserve"> 1, 2016.</w:t>
      </w:r>
    </w:p>
    <w:p w:rsidR="003B42CC" w:rsidRPr="00D107C7" w:rsidRDefault="003B42CC" w:rsidP="00D107C7">
      <w:pPr>
        <w:jc w:val="both"/>
        <w:rPr>
          <w:sz w:val="20"/>
          <w:szCs w:val="20"/>
        </w:rPr>
      </w:pPr>
    </w:p>
    <w:p w:rsidR="00FC2F78" w:rsidRDefault="003264CC" w:rsidP="000C588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Analyst:</w:t>
      </w:r>
      <w:r>
        <w:rPr>
          <w:b/>
          <w:sz w:val="16"/>
          <w:szCs w:val="16"/>
        </w:rPr>
        <w:tab/>
      </w:r>
      <w:r w:rsidR="00BF7248">
        <w:rPr>
          <w:b/>
          <w:sz w:val="16"/>
          <w:szCs w:val="16"/>
        </w:rPr>
        <w:tab/>
      </w:r>
      <w:r w:rsidR="000C5887" w:rsidRPr="000C5887">
        <w:rPr>
          <w:b/>
          <w:sz w:val="16"/>
          <w:szCs w:val="16"/>
        </w:rPr>
        <w:t>Alex Azarian</w:t>
      </w:r>
    </w:p>
    <w:p w:rsidR="000C5887" w:rsidRPr="000C5887" w:rsidRDefault="00FC2F78" w:rsidP="000C588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House Vote:</w:t>
      </w:r>
      <w:r>
        <w:rPr>
          <w:b/>
          <w:sz w:val="16"/>
          <w:szCs w:val="16"/>
        </w:rPr>
        <w:tab/>
        <w:t>141-26</w:t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</w:p>
    <w:sectPr w:rsidR="000C5887" w:rsidRPr="000C5887" w:rsidSect="00C74AFC">
      <w:footerReference w:type="even" r:id="rId10"/>
      <w:footerReference w:type="default" r:id="rId11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63" w:rsidRDefault="00833663">
      <w:r>
        <w:separator/>
      </w:r>
    </w:p>
  </w:endnote>
  <w:endnote w:type="continuationSeparator" w:id="0">
    <w:p w:rsidR="00833663" w:rsidRDefault="0083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63" w:rsidRDefault="00833663" w:rsidP="00511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663" w:rsidRDefault="00833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63" w:rsidRDefault="00833663" w:rsidP="00696219">
    <w:pPr>
      <w:pStyle w:val="Footer"/>
      <w:jc w:val="center"/>
    </w:pPr>
    <w:r w:rsidRPr="00696219">
      <w:rPr>
        <w:rStyle w:val="PageNumber"/>
        <w:b/>
        <w:sz w:val="16"/>
        <w:szCs w:val="16"/>
      </w:rPr>
      <w:t xml:space="preserve">Page </w:t>
    </w:r>
    <w:r w:rsidRPr="00696219">
      <w:rPr>
        <w:rStyle w:val="PageNumber"/>
        <w:b/>
        <w:sz w:val="16"/>
        <w:szCs w:val="16"/>
      </w:rPr>
      <w:fldChar w:fldCharType="begin"/>
    </w:r>
    <w:r w:rsidRPr="00696219">
      <w:rPr>
        <w:rStyle w:val="PageNumber"/>
        <w:b/>
        <w:sz w:val="16"/>
        <w:szCs w:val="16"/>
      </w:rPr>
      <w:instrText xml:space="preserve"> PAGE </w:instrText>
    </w:r>
    <w:r w:rsidRPr="00696219">
      <w:rPr>
        <w:rStyle w:val="PageNumber"/>
        <w:b/>
        <w:sz w:val="16"/>
        <w:szCs w:val="16"/>
      </w:rPr>
      <w:fldChar w:fldCharType="separate"/>
    </w:r>
    <w:r w:rsidR="00DC2BAE">
      <w:rPr>
        <w:rStyle w:val="PageNumber"/>
        <w:b/>
        <w:noProof/>
        <w:sz w:val="16"/>
        <w:szCs w:val="16"/>
      </w:rPr>
      <w:t>1</w:t>
    </w:r>
    <w:r w:rsidRPr="00696219">
      <w:rPr>
        <w:rStyle w:val="PageNumber"/>
        <w:b/>
        <w:sz w:val="16"/>
        <w:szCs w:val="16"/>
      </w:rPr>
      <w:fldChar w:fldCharType="end"/>
    </w:r>
    <w:r w:rsidRPr="00696219">
      <w:rPr>
        <w:rStyle w:val="PageNumber"/>
        <w:b/>
        <w:sz w:val="16"/>
        <w:szCs w:val="16"/>
      </w:rPr>
      <w:t xml:space="preserve"> of </w:t>
    </w:r>
    <w:r w:rsidRPr="00696219">
      <w:rPr>
        <w:rStyle w:val="PageNumber"/>
        <w:b/>
        <w:sz w:val="16"/>
        <w:szCs w:val="16"/>
      </w:rPr>
      <w:fldChar w:fldCharType="begin"/>
    </w:r>
    <w:r w:rsidRPr="00696219">
      <w:rPr>
        <w:rStyle w:val="PageNumber"/>
        <w:b/>
        <w:sz w:val="16"/>
        <w:szCs w:val="16"/>
      </w:rPr>
      <w:instrText xml:space="preserve"> NUMPAGES </w:instrText>
    </w:r>
    <w:r w:rsidRPr="00696219">
      <w:rPr>
        <w:rStyle w:val="PageNumber"/>
        <w:b/>
        <w:sz w:val="16"/>
        <w:szCs w:val="16"/>
      </w:rPr>
      <w:fldChar w:fldCharType="separate"/>
    </w:r>
    <w:r w:rsidR="00DC2BAE">
      <w:rPr>
        <w:rStyle w:val="PageNumber"/>
        <w:b/>
        <w:noProof/>
        <w:sz w:val="16"/>
        <w:szCs w:val="16"/>
      </w:rPr>
      <w:t>1</w:t>
    </w:r>
    <w:r w:rsidRPr="00696219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63" w:rsidRDefault="00833663">
      <w:r>
        <w:separator/>
      </w:r>
    </w:p>
  </w:footnote>
  <w:footnote w:type="continuationSeparator" w:id="0">
    <w:p w:rsidR="00833663" w:rsidRDefault="00833663">
      <w:r>
        <w:continuationSeparator/>
      </w:r>
    </w:p>
  </w:footnote>
  <w:footnote w:id="1">
    <w:p w:rsidR="00833663" w:rsidRDefault="00833663" w:rsidP="00B904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26C4">
        <w:rPr>
          <w:sz w:val="16"/>
          <w:szCs w:val="16"/>
        </w:rPr>
        <w:t xml:space="preserve">“Transportation </w:t>
      </w:r>
      <w:r>
        <w:rPr>
          <w:sz w:val="16"/>
          <w:szCs w:val="16"/>
        </w:rPr>
        <w:t>N</w:t>
      </w:r>
      <w:r w:rsidRPr="00E126C4">
        <w:rPr>
          <w:sz w:val="16"/>
          <w:szCs w:val="16"/>
        </w:rPr>
        <w:t xml:space="preserve">etwork </w:t>
      </w:r>
      <w:r>
        <w:rPr>
          <w:sz w:val="16"/>
          <w:szCs w:val="16"/>
        </w:rPr>
        <w:t>C</w:t>
      </w:r>
      <w:r w:rsidRPr="00E126C4">
        <w:rPr>
          <w:sz w:val="16"/>
          <w:szCs w:val="16"/>
        </w:rPr>
        <w:t xml:space="preserve">ompany” </w:t>
      </w:r>
      <w:r>
        <w:rPr>
          <w:sz w:val="16"/>
          <w:szCs w:val="16"/>
        </w:rPr>
        <w:t xml:space="preserve">or “TNC” </w:t>
      </w:r>
      <w:r w:rsidRPr="00E126C4">
        <w:rPr>
          <w:sz w:val="16"/>
          <w:szCs w:val="16"/>
        </w:rPr>
        <w:t>means a corporation, partnership, sole proprietorship, or other entity</w:t>
      </w:r>
      <w:r>
        <w:rPr>
          <w:sz w:val="16"/>
          <w:szCs w:val="16"/>
        </w:rPr>
        <w:t xml:space="preserve">, such as </w:t>
      </w:r>
      <w:proofErr w:type="spellStart"/>
      <w:r>
        <w:rPr>
          <w:sz w:val="16"/>
          <w:szCs w:val="16"/>
        </w:rPr>
        <w:t>Uber</w:t>
      </w:r>
      <w:proofErr w:type="spellEnd"/>
      <w:r>
        <w:rPr>
          <w:sz w:val="16"/>
          <w:szCs w:val="16"/>
        </w:rPr>
        <w:t xml:space="preserve"> or </w:t>
      </w:r>
      <w:proofErr w:type="spellStart"/>
      <w:r>
        <w:rPr>
          <w:sz w:val="16"/>
          <w:szCs w:val="16"/>
        </w:rPr>
        <w:t>Lyft</w:t>
      </w:r>
      <w:proofErr w:type="spellEnd"/>
      <w:r>
        <w:rPr>
          <w:sz w:val="16"/>
          <w:szCs w:val="16"/>
        </w:rPr>
        <w:t>,</w:t>
      </w:r>
      <w:r w:rsidRPr="00E126C4">
        <w:rPr>
          <w:sz w:val="16"/>
          <w:szCs w:val="16"/>
        </w:rPr>
        <w:t xml:space="preserve"> that uses a digital network or other means to connect customers to </w:t>
      </w:r>
      <w:r>
        <w:rPr>
          <w:sz w:val="16"/>
          <w:szCs w:val="16"/>
        </w:rPr>
        <w:t>TNC</w:t>
      </w:r>
      <w:r w:rsidRPr="00E126C4">
        <w:rPr>
          <w:sz w:val="16"/>
          <w:szCs w:val="16"/>
        </w:rPr>
        <w:t xml:space="preserve"> company drivers for the purposes of providing transportation for </w:t>
      </w:r>
      <w:r>
        <w:rPr>
          <w:sz w:val="16"/>
          <w:szCs w:val="16"/>
        </w:rPr>
        <w:t>c</w:t>
      </w:r>
      <w:r w:rsidRPr="00E126C4">
        <w:rPr>
          <w:sz w:val="16"/>
          <w:szCs w:val="16"/>
        </w:rPr>
        <w:t>ompensation including, but not limited to, payment, donation, or other item of value. The term does not include emergency or nonemergency medical transports.</w:t>
      </w:r>
    </w:p>
  </w:footnote>
  <w:footnote w:id="2">
    <w:p w:rsidR="00833663" w:rsidRDefault="00833663" w:rsidP="004C4E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26C4">
        <w:rPr>
          <w:sz w:val="16"/>
          <w:szCs w:val="16"/>
        </w:rPr>
        <w:t xml:space="preserve">“Transportation network company services” or “services” means: (A) The period of time a driver is logged on to the </w:t>
      </w:r>
      <w:r>
        <w:rPr>
          <w:sz w:val="16"/>
          <w:szCs w:val="16"/>
        </w:rPr>
        <w:t>TNC</w:t>
      </w:r>
      <w:r w:rsidRPr="00E126C4">
        <w:rPr>
          <w:sz w:val="16"/>
          <w:szCs w:val="16"/>
        </w:rPr>
        <w:t xml:space="preserve">'s digital network </w:t>
      </w:r>
      <w:r>
        <w:rPr>
          <w:sz w:val="16"/>
          <w:szCs w:val="16"/>
        </w:rPr>
        <w:t xml:space="preserve">and available to accept a ride request </w:t>
      </w:r>
      <w:r w:rsidRPr="00E126C4">
        <w:rPr>
          <w:sz w:val="16"/>
          <w:szCs w:val="16"/>
        </w:rPr>
        <w:t>until the driver is logged off; and (B) The period of time a driver accepts a ride request on the transportation network company's digital network until the driver completes the transaction or the ride is complete, whichever is later.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58C"/>
    <w:multiLevelType w:val="hybridMultilevel"/>
    <w:tmpl w:val="A718C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27D80"/>
    <w:multiLevelType w:val="hybridMultilevel"/>
    <w:tmpl w:val="B81CA0AC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D480A"/>
    <w:multiLevelType w:val="hybridMultilevel"/>
    <w:tmpl w:val="B33215EC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92185"/>
    <w:multiLevelType w:val="hybridMultilevel"/>
    <w:tmpl w:val="3814E3FC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82C2B"/>
    <w:multiLevelType w:val="hybridMultilevel"/>
    <w:tmpl w:val="8DAC7F04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613AB"/>
    <w:multiLevelType w:val="hybridMultilevel"/>
    <w:tmpl w:val="B4C6BCE8"/>
    <w:lvl w:ilvl="0" w:tplc="F480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D0918"/>
    <w:multiLevelType w:val="hybridMultilevel"/>
    <w:tmpl w:val="56461DB8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>
    <w:nsid w:val="3517640F"/>
    <w:multiLevelType w:val="hybridMultilevel"/>
    <w:tmpl w:val="C330B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D72824"/>
    <w:multiLevelType w:val="hybridMultilevel"/>
    <w:tmpl w:val="9B14F478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4809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C1D6F"/>
    <w:multiLevelType w:val="hybridMultilevel"/>
    <w:tmpl w:val="2EA00B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713D89"/>
    <w:multiLevelType w:val="hybridMultilevel"/>
    <w:tmpl w:val="6CA449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B7358F"/>
    <w:multiLevelType w:val="hybridMultilevel"/>
    <w:tmpl w:val="C5284320"/>
    <w:lvl w:ilvl="0" w:tplc="F480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36B9E"/>
    <w:multiLevelType w:val="hybridMultilevel"/>
    <w:tmpl w:val="08527ED6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04122"/>
    <w:multiLevelType w:val="hybridMultilevel"/>
    <w:tmpl w:val="A85413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5C34AC"/>
    <w:multiLevelType w:val="hybridMultilevel"/>
    <w:tmpl w:val="F604A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F5F0A"/>
    <w:multiLevelType w:val="hybridMultilevel"/>
    <w:tmpl w:val="8CAA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D75B9"/>
    <w:multiLevelType w:val="hybridMultilevel"/>
    <w:tmpl w:val="09BCE1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20273E"/>
    <w:multiLevelType w:val="hybridMultilevel"/>
    <w:tmpl w:val="3FE0DEDE"/>
    <w:lvl w:ilvl="0" w:tplc="F480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8">
    <w:nsid w:val="77F53ACB"/>
    <w:multiLevelType w:val="hybridMultilevel"/>
    <w:tmpl w:val="DE54B5FC"/>
    <w:lvl w:ilvl="0" w:tplc="0540BE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18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17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9"/>
  </w:num>
  <w:num w:numId="17">
    <w:abstractNumId w:val="10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8C"/>
    <w:rsid w:val="00030863"/>
    <w:rsid w:val="00034795"/>
    <w:rsid w:val="0004297D"/>
    <w:rsid w:val="00046BA7"/>
    <w:rsid w:val="000675D9"/>
    <w:rsid w:val="00091E16"/>
    <w:rsid w:val="00094983"/>
    <w:rsid w:val="000A2D55"/>
    <w:rsid w:val="000B4F68"/>
    <w:rsid w:val="000C5887"/>
    <w:rsid w:val="000E48F1"/>
    <w:rsid w:val="000F4BC7"/>
    <w:rsid w:val="000F69AF"/>
    <w:rsid w:val="0011799B"/>
    <w:rsid w:val="001316C1"/>
    <w:rsid w:val="00135F5D"/>
    <w:rsid w:val="00141FED"/>
    <w:rsid w:val="001564C9"/>
    <w:rsid w:val="001634CB"/>
    <w:rsid w:val="0016598B"/>
    <w:rsid w:val="001837F0"/>
    <w:rsid w:val="001C0BA3"/>
    <w:rsid w:val="001D6EED"/>
    <w:rsid w:val="00215651"/>
    <w:rsid w:val="002179A3"/>
    <w:rsid w:val="002540EA"/>
    <w:rsid w:val="002659FF"/>
    <w:rsid w:val="00271763"/>
    <w:rsid w:val="002A79B7"/>
    <w:rsid w:val="002E74C6"/>
    <w:rsid w:val="00320062"/>
    <w:rsid w:val="00321E6F"/>
    <w:rsid w:val="003264CC"/>
    <w:rsid w:val="00385701"/>
    <w:rsid w:val="003A2334"/>
    <w:rsid w:val="003B42CC"/>
    <w:rsid w:val="003D705B"/>
    <w:rsid w:val="003D710E"/>
    <w:rsid w:val="003E3287"/>
    <w:rsid w:val="004002F4"/>
    <w:rsid w:val="00415DBE"/>
    <w:rsid w:val="00433F29"/>
    <w:rsid w:val="0044686B"/>
    <w:rsid w:val="00470D55"/>
    <w:rsid w:val="004B0889"/>
    <w:rsid w:val="004B79F4"/>
    <w:rsid w:val="004C0416"/>
    <w:rsid w:val="004C4E2B"/>
    <w:rsid w:val="00511D71"/>
    <w:rsid w:val="00516B5B"/>
    <w:rsid w:val="00542843"/>
    <w:rsid w:val="00545079"/>
    <w:rsid w:val="00551907"/>
    <w:rsid w:val="00557317"/>
    <w:rsid w:val="0056130E"/>
    <w:rsid w:val="005724D5"/>
    <w:rsid w:val="005A3DA1"/>
    <w:rsid w:val="005C0D6F"/>
    <w:rsid w:val="005C21F1"/>
    <w:rsid w:val="005D3973"/>
    <w:rsid w:val="005D755F"/>
    <w:rsid w:val="005E307F"/>
    <w:rsid w:val="0061577B"/>
    <w:rsid w:val="00617288"/>
    <w:rsid w:val="00631640"/>
    <w:rsid w:val="00631E80"/>
    <w:rsid w:val="006902D3"/>
    <w:rsid w:val="00696219"/>
    <w:rsid w:val="006B629B"/>
    <w:rsid w:val="006E5576"/>
    <w:rsid w:val="007047F3"/>
    <w:rsid w:val="007602B3"/>
    <w:rsid w:val="00776141"/>
    <w:rsid w:val="007E7976"/>
    <w:rsid w:val="0080329E"/>
    <w:rsid w:val="00815A45"/>
    <w:rsid w:val="00825529"/>
    <w:rsid w:val="00833663"/>
    <w:rsid w:val="00840FD6"/>
    <w:rsid w:val="00864929"/>
    <w:rsid w:val="00867892"/>
    <w:rsid w:val="0087341D"/>
    <w:rsid w:val="008B217D"/>
    <w:rsid w:val="008D34DE"/>
    <w:rsid w:val="008E0A07"/>
    <w:rsid w:val="008E3076"/>
    <w:rsid w:val="00915684"/>
    <w:rsid w:val="00925772"/>
    <w:rsid w:val="00937572"/>
    <w:rsid w:val="00966EC6"/>
    <w:rsid w:val="00970EB1"/>
    <w:rsid w:val="009A19E9"/>
    <w:rsid w:val="009C142F"/>
    <w:rsid w:val="009E186E"/>
    <w:rsid w:val="009E7C5A"/>
    <w:rsid w:val="009F688F"/>
    <w:rsid w:val="00A0055E"/>
    <w:rsid w:val="00A35E7D"/>
    <w:rsid w:val="00A47606"/>
    <w:rsid w:val="00A53FAC"/>
    <w:rsid w:val="00A759A7"/>
    <w:rsid w:val="00AA3185"/>
    <w:rsid w:val="00AB31E4"/>
    <w:rsid w:val="00AD7B80"/>
    <w:rsid w:val="00B03516"/>
    <w:rsid w:val="00B25CA8"/>
    <w:rsid w:val="00B332A6"/>
    <w:rsid w:val="00B61C8A"/>
    <w:rsid w:val="00B904B1"/>
    <w:rsid w:val="00B91A4A"/>
    <w:rsid w:val="00BB0059"/>
    <w:rsid w:val="00BB0A84"/>
    <w:rsid w:val="00BB2AF7"/>
    <w:rsid w:val="00BF7248"/>
    <w:rsid w:val="00C24D8C"/>
    <w:rsid w:val="00C32459"/>
    <w:rsid w:val="00C513ED"/>
    <w:rsid w:val="00C5391E"/>
    <w:rsid w:val="00C74AFC"/>
    <w:rsid w:val="00CB1D72"/>
    <w:rsid w:val="00D107C7"/>
    <w:rsid w:val="00D13B12"/>
    <w:rsid w:val="00D31090"/>
    <w:rsid w:val="00D42EE5"/>
    <w:rsid w:val="00D62E81"/>
    <w:rsid w:val="00D77319"/>
    <w:rsid w:val="00D91A60"/>
    <w:rsid w:val="00DC18D4"/>
    <w:rsid w:val="00DC2BAE"/>
    <w:rsid w:val="00E01DCC"/>
    <w:rsid w:val="00E126C4"/>
    <w:rsid w:val="00E17880"/>
    <w:rsid w:val="00E240BE"/>
    <w:rsid w:val="00E25B38"/>
    <w:rsid w:val="00E536A4"/>
    <w:rsid w:val="00E66DAC"/>
    <w:rsid w:val="00E74381"/>
    <w:rsid w:val="00E81102"/>
    <w:rsid w:val="00E83F28"/>
    <w:rsid w:val="00E97C15"/>
    <w:rsid w:val="00EC23B6"/>
    <w:rsid w:val="00EE1890"/>
    <w:rsid w:val="00EF1F6C"/>
    <w:rsid w:val="00F05EAC"/>
    <w:rsid w:val="00F250F9"/>
    <w:rsid w:val="00F53860"/>
    <w:rsid w:val="00F80ACE"/>
    <w:rsid w:val="00FA59E6"/>
    <w:rsid w:val="00FB73F2"/>
    <w:rsid w:val="00FB7C93"/>
    <w:rsid w:val="00FC2F78"/>
    <w:rsid w:val="00FD5496"/>
    <w:rsid w:val="00FD5A9D"/>
    <w:rsid w:val="00FF2B51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D8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4D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D8C"/>
  </w:style>
  <w:style w:type="table" w:styleId="TableGrid">
    <w:name w:val="Table Grid"/>
    <w:basedOn w:val="TableNormal"/>
    <w:rsid w:val="00C2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74A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E7C5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C4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4E2B"/>
    <w:rPr>
      <w:rFonts w:ascii="Arial" w:hAnsi="Arial" w:cs="Arial"/>
    </w:rPr>
  </w:style>
  <w:style w:type="character" w:styleId="FootnoteReference">
    <w:name w:val="footnote reference"/>
    <w:basedOn w:val="DefaultParagraphFont"/>
    <w:rsid w:val="004C4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D8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4D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D8C"/>
  </w:style>
  <w:style w:type="table" w:styleId="TableGrid">
    <w:name w:val="Table Grid"/>
    <w:basedOn w:val="TableNormal"/>
    <w:rsid w:val="00C2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74A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E7C5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C4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4E2B"/>
    <w:rPr>
      <w:rFonts w:ascii="Arial" w:hAnsi="Arial" w:cs="Arial"/>
    </w:rPr>
  </w:style>
  <w:style w:type="character" w:styleId="FootnoteReference">
    <w:name w:val="footnote reference"/>
    <w:basedOn w:val="DefaultParagraphFont"/>
    <w:rsid w:val="004C4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B970-CCF3-4B45-A2AF-CD89C5ED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General Assembly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emily.fisher</dc:creator>
  <cp:lastModifiedBy>Azarian, Alex</cp:lastModifiedBy>
  <cp:revision>2</cp:revision>
  <cp:lastPrinted>2015-03-25T15:42:00Z</cp:lastPrinted>
  <dcterms:created xsi:type="dcterms:W3CDTF">2015-04-02T21:05:00Z</dcterms:created>
  <dcterms:modified xsi:type="dcterms:W3CDTF">2015-04-02T21:05:00Z</dcterms:modified>
</cp:coreProperties>
</file>