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3D0" w:rsidRPr="009623D0" w:rsidRDefault="009623D0" w:rsidP="009623D0">
      <w:pPr>
        <w:spacing w:after="0" w:line="240" w:lineRule="auto"/>
        <w:jc w:val="both"/>
        <w:rPr>
          <w:rFonts w:ascii="Arial" w:eastAsia="Times New Roman" w:hAnsi="Arial" w:cs="Arial"/>
          <w:b/>
        </w:rPr>
      </w:pPr>
      <w:r w:rsidRPr="009623D0">
        <w:rPr>
          <w:rFonts w:ascii="Arial" w:eastAsia="Times New Roman" w:hAnsi="Arial" w:cs="Arial"/>
          <w:b/>
          <w:noProof/>
        </w:rPr>
        <w:drawing>
          <wp:anchor distT="0" distB="0" distL="0" distR="0" simplePos="0" relativeHeight="251659264" behindDoc="0" locked="0" layoutInCell="1" allowOverlap="0" wp14:anchorId="3E3EC4C0" wp14:editId="090EC01D">
            <wp:simplePos x="0" y="0"/>
            <wp:positionH relativeFrom="column">
              <wp:posOffset>0</wp:posOffset>
            </wp:positionH>
            <wp:positionV relativeFrom="page">
              <wp:posOffset>548640</wp:posOffset>
            </wp:positionV>
            <wp:extent cx="814070" cy="814070"/>
            <wp:effectExtent l="0" t="0" r="5080" b="5080"/>
            <wp:wrapNone/>
            <wp:docPr id="2" name="Picture 2" descr="674215512@08082006-0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74215512@08082006-01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4070" cy="814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23D0">
        <w:rPr>
          <w:rFonts w:ascii="Arial" w:eastAsia="Times New Roman" w:hAnsi="Arial" w:cs="Arial"/>
          <w:b/>
        </w:rPr>
        <w:tab/>
      </w:r>
      <w:r w:rsidRPr="009623D0">
        <w:rPr>
          <w:rFonts w:ascii="Arial" w:eastAsia="Times New Roman" w:hAnsi="Arial" w:cs="Arial"/>
          <w:b/>
        </w:rPr>
        <w:tab/>
      </w:r>
    </w:p>
    <w:p w:rsidR="009623D0" w:rsidRPr="009623D0" w:rsidRDefault="009623D0" w:rsidP="009623D0">
      <w:pPr>
        <w:spacing w:after="0" w:line="240" w:lineRule="auto"/>
        <w:ind w:left="720" w:firstLine="720"/>
        <w:jc w:val="both"/>
        <w:rPr>
          <w:rFonts w:ascii="Arial" w:eastAsia="Times New Roman" w:hAnsi="Arial" w:cs="Arial"/>
          <w:b/>
        </w:rPr>
      </w:pPr>
    </w:p>
    <w:p w:rsidR="009623D0" w:rsidRPr="009623D0" w:rsidRDefault="009623D0" w:rsidP="009623D0">
      <w:pPr>
        <w:spacing w:after="0" w:line="240" w:lineRule="auto"/>
        <w:ind w:left="720" w:firstLine="720"/>
        <w:jc w:val="both"/>
        <w:rPr>
          <w:rFonts w:ascii="Arial" w:eastAsia="Times New Roman" w:hAnsi="Arial" w:cs="Arial"/>
          <w:b/>
        </w:rPr>
      </w:pPr>
      <w:r w:rsidRPr="009623D0">
        <w:rPr>
          <w:rFonts w:ascii="Arial" w:eastAsia="Times New Roman" w:hAnsi="Arial" w:cs="Arial"/>
          <w:b/>
          <w:noProof/>
        </w:rPr>
        <mc:AlternateContent>
          <mc:Choice Requires="wps">
            <w:drawing>
              <wp:anchor distT="0" distB="0" distL="114300" distR="114300" simplePos="0" relativeHeight="251660288" behindDoc="0" locked="0" layoutInCell="1" allowOverlap="1" wp14:anchorId="15ECBB28" wp14:editId="35D49DDC">
                <wp:simplePos x="0" y="0"/>
                <wp:positionH relativeFrom="column">
                  <wp:posOffset>914400</wp:posOffset>
                </wp:positionH>
                <wp:positionV relativeFrom="paragraph">
                  <wp:posOffset>135890</wp:posOffset>
                </wp:positionV>
                <wp:extent cx="5029200" cy="0"/>
                <wp:effectExtent l="9525" t="12065" r="9525" b="6985"/>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7pt" to="46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9KY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"/>
            </w:pict>
          </mc:Fallback>
        </mc:AlternateContent>
      </w:r>
      <w:r w:rsidRPr="009623D0">
        <w:rPr>
          <w:rFonts w:ascii="Arial" w:eastAsia="Times New Roman" w:hAnsi="Arial" w:cs="Arial"/>
          <w:b/>
        </w:rPr>
        <w:t>SENATE RESEARCH OFFICE</w:t>
      </w:r>
    </w:p>
    <w:p w:rsidR="009623D0" w:rsidRPr="009623D0" w:rsidRDefault="009D1DD3" w:rsidP="009623D0">
      <w:pPr>
        <w:tabs>
          <w:tab w:val="left" w:pos="1440"/>
          <w:tab w:val="right" w:pos="9360"/>
        </w:tabs>
        <w:spacing w:after="0" w:line="240" w:lineRule="auto"/>
        <w:rPr>
          <w:rFonts w:ascii="Arial" w:eastAsia="Times New Roman" w:hAnsi="Arial" w:cs="Arial"/>
          <w:b/>
        </w:rPr>
      </w:pPr>
      <w:r>
        <w:rPr>
          <w:rFonts w:ascii="Arial" w:eastAsia="Times New Roman" w:hAnsi="Arial" w:cs="Arial"/>
          <w:b/>
        </w:rPr>
        <w:tab/>
        <w:t>2015 Session</w:t>
      </w:r>
      <w:r>
        <w:rPr>
          <w:rFonts w:ascii="Arial" w:eastAsia="Times New Roman" w:hAnsi="Arial" w:cs="Arial"/>
          <w:b/>
        </w:rPr>
        <w:tab/>
      </w:r>
      <w:r w:rsidR="008304FD">
        <w:rPr>
          <w:rFonts w:ascii="Arial" w:eastAsia="Times New Roman" w:hAnsi="Arial" w:cs="Arial"/>
          <w:b/>
        </w:rPr>
        <w:t>April 2</w:t>
      </w:r>
      <w:r w:rsidR="009623D0" w:rsidRPr="009623D0">
        <w:rPr>
          <w:rFonts w:ascii="Arial" w:eastAsia="Times New Roman" w:hAnsi="Arial" w:cs="Arial"/>
          <w:b/>
        </w:rPr>
        <w:t>, 2015</w:t>
      </w:r>
    </w:p>
    <w:p w:rsidR="009623D0" w:rsidRPr="009623D0" w:rsidRDefault="009623D0" w:rsidP="009623D0">
      <w:pPr>
        <w:spacing w:after="0" w:line="240" w:lineRule="auto"/>
        <w:jc w:val="both"/>
        <w:rPr>
          <w:rFonts w:ascii="Arial" w:eastAsia="Times New Roman" w:hAnsi="Arial" w:cs="Arial"/>
        </w:rPr>
      </w:pPr>
    </w:p>
    <w:p w:rsidR="009623D0" w:rsidRPr="009623D0" w:rsidRDefault="009623D0" w:rsidP="009623D0">
      <w:pPr>
        <w:spacing w:after="0" w:line="240" w:lineRule="auto"/>
        <w:jc w:val="both"/>
        <w:rPr>
          <w:rFonts w:ascii="Arial" w:eastAsia="Times New Roman" w:hAnsi="Arial" w:cs="Arial"/>
        </w:rPr>
      </w:pPr>
    </w:p>
    <w:tbl>
      <w:tblPr>
        <w:tblW w:w="9960" w:type="dxa"/>
        <w:tblInd w:w="-12" w:type="dxa"/>
        <w:tblLook w:val="01E0" w:firstRow="1" w:lastRow="1" w:firstColumn="1" w:lastColumn="1" w:noHBand="0" w:noVBand="0"/>
      </w:tblPr>
      <w:tblGrid>
        <w:gridCol w:w="5040"/>
        <w:gridCol w:w="4920"/>
      </w:tblGrid>
      <w:tr w:rsidR="009623D0" w:rsidRPr="009623D0" w:rsidTr="008F7467">
        <w:trPr>
          <w:trHeight w:val="287"/>
        </w:trPr>
        <w:tc>
          <w:tcPr>
            <w:tcW w:w="5040" w:type="dxa"/>
            <w:shd w:val="clear" w:color="auto" w:fill="auto"/>
            <w:vAlign w:val="center"/>
          </w:tcPr>
          <w:p w:rsidR="009623D0" w:rsidRPr="009623D0" w:rsidRDefault="009623D0" w:rsidP="009623D0">
            <w:pPr>
              <w:tabs>
                <w:tab w:val="left" w:pos="1077"/>
                <w:tab w:val="left" w:pos="1257"/>
              </w:tabs>
              <w:spacing w:after="0" w:line="240" w:lineRule="auto"/>
              <w:rPr>
                <w:rFonts w:ascii="Arial" w:eastAsia="Times New Roman" w:hAnsi="Arial" w:cs="Arial"/>
                <w:sz w:val="20"/>
                <w:szCs w:val="20"/>
              </w:rPr>
            </w:pPr>
            <w:r w:rsidRPr="009623D0">
              <w:rPr>
                <w:rFonts w:ascii="Arial" w:eastAsia="Times New Roman" w:hAnsi="Arial" w:cs="Arial"/>
                <w:b/>
                <w:sz w:val="20"/>
                <w:szCs w:val="20"/>
              </w:rPr>
              <w:t xml:space="preserve">Bill: </w:t>
            </w:r>
            <w:r w:rsidRPr="009623D0">
              <w:rPr>
                <w:rFonts w:ascii="Arial" w:eastAsia="Times New Roman" w:hAnsi="Arial" w:cs="Arial"/>
                <w:sz w:val="20"/>
                <w:szCs w:val="20"/>
              </w:rPr>
              <w:tab/>
              <w:t xml:space="preserve">HB </w:t>
            </w:r>
            <w:r>
              <w:rPr>
                <w:rFonts w:ascii="Arial" w:eastAsia="Times New Roman" w:hAnsi="Arial" w:cs="Arial"/>
                <w:sz w:val="20"/>
                <w:szCs w:val="20"/>
              </w:rPr>
              <w:t>225</w:t>
            </w:r>
          </w:p>
        </w:tc>
        <w:tc>
          <w:tcPr>
            <w:tcW w:w="4920" w:type="dxa"/>
            <w:shd w:val="clear" w:color="auto" w:fill="auto"/>
            <w:vAlign w:val="center"/>
          </w:tcPr>
          <w:p w:rsidR="009623D0" w:rsidRPr="009623D0" w:rsidRDefault="009623D0" w:rsidP="009623D0">
            <w:pPr>
              <w:spacing w:after="0" w:line="240" w:lineRule="auto"/>
              <w:rPr>
                <w:rFonts w:ascii="Arial" w:eastAsia="Times New Roman" w:hAnsi="Arial" w:cs="Arial"/>
                <w:sz w:val="20"/>
                <w:szCs w:val="20"/>
              </w:rPr>
            </w:pPr>
            <w:r w:rsidRPr="009623D0">
              <w:rPr>
                <w:rFonts w:ascii="Arial" w:eastAsia="Times New Roman" w:hAnsi="Arial" w:cs="Arial"/>
                <w:b/>
                <w:sz w:val="20"/>
                <w:szCs w:val="20"/>
              </w:rPr>
              <w:t xml:space="preserve">Sponsor: </w:t>
            </w:r>
            <w:r w:rsidRPr="009623D0">
              <w:rPr>
                <w:rFonts w:ascii="Arial" w:eastAsia="Times New Roman" w:hAnsi="Arial" w:cs="Arial"/>
                <w:sz w:val="20"/>
                <w:szCs w:val="20"/>
              </w:rPr>
              <w:tab/>
              <w:t xml:space="preserve">Representative </w:t>
            </w:r>
            <w:r>
              <w:rPr>
                <w:rFonts w:ascii="Arial" w:eastAsia="Times New Roman" w:hAnsi="Arial" w:cs="Arial"/>
                <w:sz w:val="20"/>
                <w:szCs w:val="20"/>
              </w:rPr>
              <w:t>Powell of the 32</w:t>
            </w:r>
            <w:r w:rsidRPr="009623D0">
              <w:rPr>
                <w:rFonts w:ascii="Arial" w:eastAsia="Times New Roman" w:hAnsi="Arial" w:cs="Arial"/>
                <w:sz w:val="20"/>
                <w:szCs w:val="20"/>
                <w:vertAlign w:val="superscript"/>
              </w:rPr>
              <w:t>nd</w:t>
            </w:r>
            <w:r>
              <w:rPr>
                <w:rFonts w:ascii="Arial" w:eastAsia="Times New Roman" w:hAnsi="Arial" w:cs="Arial"/>
                <w:sz w:val="20"/>
                <w:szCs w:val="20"/>
              </w:rPr>
              <w:t xml:space="preserve"> </w:t>
            </w:r>
            <w:r w:rsidRPr="009623D0">
              <w:rPr>
                <w:rFonts w:ascii="Arial" w:eastAsia="Times New Roman" w:hAnsi="Arial" w:cs="Arial"/>
                <w:sz w:val="20"/>
                <w:szCs w:val="20"/>
              </w:rPr>
              <w:t xml:space="preserve">    </w:t>
            </w:r>
          </w:p>
        </w:tc>
      </w:tr>
      <w:tr w:rsidR="009623D0" w:rsidRPr="009623D0" w:rsidTr="008F7467">
        <w:trPr>
          <w:trHeight w:val="275"/>
        </w:trPr>
        <w:tc>
          <w:tcPr>
            <w:tcW w:w="5040" w:type="dxa"/>
            <w:shd w:val="clear" w:color="auto" w:fill="auto"/>
            <w:vAlign w:val="center"/>
          </w:tcPr>
          <w:p w:rsidR="009623D0" w:rsidRPr="009623D0" w:rsidRDefault="009623D0" w:rsidP="008304FD">
            <w:pPr>
              <w:tabs>
                <w:tab w:val="left" w:pos="1092"/>
              </w:tabs>
              <w:spacing w:after="0" w:line="240" w:lineRule="auto"/>
              <w:rPr>
                <w:rFonts w:ascii="Arial" w:eastAsia="Times New Roman" w:hAnsi="Arial" w:cs="Arial"/>
                <w:sz w:val="20"/>
                <w:szCs w:val="20"/>
              </w:rPr>
            </w:pPr>
            <w:r w:rsidRPr="009623D0">
              <w:rPr>
                <w:rFonts w:ascii="Arial" w:eastAsia="Times New Roman" w:hAnsi="Arial" w:cs="Arial"/>
                <w:b/>
                <w:sz w:val="20"/>
                <w:szCs w:val="20"/>
              </w:rPr>
              <w:t>Version:</w:t>
            </w:r>
            <w:r w:rsidRPr="009623D0">
              <w:rPr>
                <w:rFonts w:ascii="Arial" w:eastAsia="Times New Roman" w:hAnsi="Arial" w:cs="Arial"/>
                <w:sz w:val="20"/>
                <w:szCs w:val="20"/>
              </w:rPr>
              <w:tab/>
            </w:r>
            <w:r w:rsidR="008304FD">
              <w:rPr>
                <w:rFonts w:ascii="Arial" w:eastAsia="Times New Roman" w:hAnsi="Arial" w:cs="Arial"/>
                <w:sz w:val="20"/>
                <w:szCs w:val="20"/>
              </w:rPr>
              <w:t>LC 43 0160S</w:t>
            </w:r>
          </w:p>
        </w:tc>
        <w:tc>
          <w:tcPr>
            <w:tcW w:w="4920" w:type="dxa"/>
            <w:shd w:val="clear" w:color="auto" w:fill="auto"/>
            <w:vAlign w:val="center"/>
          </w:tcPr>
          <w:p w:rsidR="009623D0" w:rsidRPr="009623D0" w:rsidRDefault="009623D0" w:rsidP="009623D0">
            <w:pPr>
              <w:spacing w:after="0" w:line="240" w:lineRule="auto"/>
              <w:rPr>
                <w:rFonts w:ascii="Arial" w:eastAsia="Times New Roman" w:hAnsi="Arial" w:cs="Arial"/>
                <w:sz w:val="20"/>
                <w:szCs w:val="20"/>
              </w:rPr>
            </w:pPr>
            <w:r w:rsidRPr="009623D0">
              <w:rPr>
                <w:rFonts w:ascii="Arial" w:eastAsia="Times New Roman" w:hAnsi="Arial" w:cs="Arial"/>
                <w:b/>
                <w:sz w:val="20"/>
                <w:szCs w:val="20"/>
              </w:rPr>
              <w:t xml:space="preserve">Amends: </w:t>
            </w:r>
            <w:r w:rsidRPr="009623D0">
              <w:rPr>
                <w:rFonts w:ascii="Arial" w:eastAsia="Times New Roman" w:hAnsi="Arial" w:cs="Arial"/>
                <w:sz w:val="20"/>
                <w:szCs w:val="20"/>
              </w:rPr>
              <w:tab/>
              <w:t>Title</w:t>
            </w:r>
            <w:r>
              <w:rPr>
                <w:rFonts w:ascii="Arial" w:eastAsia="Times New Roman" w:hAnsi="Arial" w:cs="Arial"/>
                <w:sz w:val="20"/>
                <w:szCs w:val="20"/>
              </w:rPr>
              <w:t>s</w:t>
            </w:r>
            <w:r w:rsidRPr="009623D0">
              <w:rPr>
                <w:rFonts w:ascii="Arial" w:eastAsia="Times New Roman" w:hAnsi="Arial" w:cs="Arial"/>
                <w:sz w:val="20"/>
                <w:szCs w:val="20"/>
              </w:rPr>
              <w:t xml:space="preserve"> </w:t>
            </w:r>
            <w:r>
              <w:rPr>
                <w:rFonts w:ascii="Arial" w:eastAsia="Times New Roman" w:hAnsi="Arial" w:cs="Arial"/>
                <w:sz w:val="20"/>
                <w:szCs w:val="20"/>
              </w:rPr>
              <w:t>36, 40, 48</w:t>
            </w:r>
          </w:p>
        </w:tc>
      </w:tr>
      <w:tr w:rsidR="009623D0" w:rsidRPr="009623D0" w:rsidTr="008F7467">
        <w:trPr>
          <w:trHeight w:val="275"/>
        </w:trPr>
        <w:tc>
          <w:tcPr>
            <w:tcW w:w="5040" w:type="dxa"/>
            <w:tcBorders>
              <w:bottom w:val="single" w:sz="4" w:space="0" w:color="auto"/>
            </w:tcBorders>
            <w:shd w:val="clear" w:color="auto" w:fill="auto"/>
            <w:vAlign w:val="center"/>
          </w:tcPr>
          <w:p w:rsidR="009623D0" w:rsidRPr="009623D0" w:rsidRDefault="009623D0" w:rsidP="00B375DB">
            <w:pPr>
              <w:tabs>
                <w:tab w:val="left" w:pos="1092"/>
              </w:tabs>
              <w:spacing w:after="0" w:line="240" w:lineRule="auto"/>
              <w:rPr>
                <w:rFonts w:ascii="Arial" w:eastAsia="Times New Roman" w:hAnsi="Arial" w:cs="Arial"/>
                <w:sz w:val="20"/>
                <w:szCs w:val="20"/>
              </w:rPr>
            </w:pPr>
            <w:r w:rsidRPr="009623D0">
              <w:rPr>
                <w:rFonts w:ascii="Arial" w:eastAsia="Times New Roman" w:hAnsi="Arial" w:cs="Arial"/>
                <w:b/>
                <w:sz w:val="20"/>
                <w:szCs w:val="20"/>
              </w:rPr>
              <w:t>Status:</w:t>
            </w:r>
            <w:r w:rsidRPr="009623D0">
              <w:rPr>
                <w:rFonts w:ascii="Arial" w:eastAsia="Times New Roman" w:hAnsi="Arial" w:cs="Arial"/>
                <w:b/>
                <w:sz w:val="20"/>
                <w:szCs w:val="20"/>
              </w:rPr>
              <w:tab/>
            </w:r>
            <w:r w:rsidR="009D1DD3">
              <w:rPr>
                <w:rFonts w:ascii="Arial" w:eastAsia="Times New Roman" w:hAnsi="Arial" w:cs="Arial"/>
                <w:sz w:val="20"/>
                <w:szCs w:val="20"/>
              </w:rPr>
              <w:t xml:space="preserve">As Passed </w:t>
            </w:r>
          </w:p>
        </w:tc>
        <w:tc>
          <w:tcPr>
            <w:tcW w:w="4920" w:type="dxa"/>
            <w:tcBorders>
              <w:bottom w:val="single" w:sz="4" w:space="0" w:color="auto"/>
            </w:tcBorders>
            <w:shd w:val="clear" w:color="auto" w:fill="auto"/>
            <w:vAlign w:val="center"/>
          </w:tcPr>
          <w:p w:rsidR="009623D0" w:rsidRPr="009623D0" w:rsidRDefault="009623D0" w:rsidP="009623D0">
            <w:pPr>
              <w:spacing w:after="0" w:line="240" w:lineRule="auto"/>
              <w:rPr>
                <w:rFonts w:ascii="Arial" w:eastAsia="Times New Roman" w:hAnsi="Arial" w:cs="Arial"/>
                <w:sz w:val="20"/>
                <w:szCs w:val="20"/>
              </w:rPr>
            </w:pPr>
            <w:r w:rsidRPr="009623D0">
              <w:rPr>
                <w:rFonts w:ascii="Arial" w:eastAsia="Times New Roman" w:hAnsi="Arial" w:cs="Arial"/>
                <w:b/>
                <w:sz w:val="20"/>
                <w:szCs w:val="20"/>
              </w:rPr>
              <w:t>Committee:</w:t>
            </w:r>
            <w:r w:rsidRPr="009623D0">
              <w:rPr>
                <w:rFonts w:ascii="Arial" w:eastAsia="Times New Roman" w:hAnsi="Arial" w:cs="Arial"/>
                <w:sz w:val="20"/>
                <w:szCs w:val="20"/>
              </w:rPr>
              <w:tab/>
              <w:t>Finance</w:t>
            </w:r>
          </w:p>
        </w:tc>
      </w:tr>
    </w:tbl>
    <w:p w:rsidR="009623D0" w:rsidRPr="009623D0" w:rsidRDefault="009623D0" w:rsidP="009623D0">
      <w:pPr>
        <w:spacing w:after="0" w:line="240" w:lineRule="auto"/>
        <w:jc w:val="both"/>
        <w:rPr>
          <w:rFonts w:ascii="Arial" w:eastAsia="Times New Roman" w:hAnsi="Arial" w:cs="Arial"/>
          <w:b/>
          <w:sz w:val="20"/>
          <w:szCs w:val="20"/>
        </w:rPr>
      </w:pPr>
    </w:p>
    <w:p w:rsidR="009623D0" w:rsidRPr="009623D0" w:rsidRDefault="009623D0" w:rsidP="009A04F0">
      <w:pPr>
        <w:spacing w:after="0" w:line="240" w:lineRule="auto"/>
        <w:jc w:val="both"/>
        <w:rPr>
          <w:rFonts w:ascii="Arial" w:eastAsia="Times New Roman" w:hAnsi="Arial" w:cs="Arial"/>
          <w:b/>
          <w:sz w:val="20"/>
          <w:szCs w:val="20"/>
        </w:rPr>
      </w:pPr>
      <w:r>
        <w:rPr>
          <w:rFonts w:ascii="Arial" w:eastAsia="Times New Roman" w:hAnsi="Arial" w:cs="Arial"/>
          <w:b/>
          <w:sz w:val="20"/>
          <w:szCs w:val="20"/>
        </w:rPr>
        <w:t xml:space="preserve">REGUALTION OF RIDE </w:t>
      </w:r>
      <w:r w:rsidR="00BC7AF2">
        <w:rPr>
          <w:rFonts w:ascii="Arial" w:eastAsia="Times New Roman" w:hAnsi="Arial" w:cs="Arial"/>
          <w:b/>
          <w:sz w:val="20"/>
          <w:szCs w:val="20"/>
        </w:rPr>
        <w:t>SHARING COMPANIES</w:t>
      </w:r>
      <w:r>
        <w:rPr>
          <w:rFonts w:ascii="Arial" w:eastAsia="Times New Roman" w:hAnsi="Arial" w:cs="Arial"/>
          <w:b/>
          <w:sz w:val="20"/>
          <w:szCs w:val="20"/>
        </w:rPr>
        <w:t>; UBER, LYFT</w:t>
      </w:r>
    </w:p>
    <w:p w:rsidR="009623D0" w:rsidRPr="009623D0" w:rsidRDefault="009623D0" w:rsidP="009A04F0">
      <w:pPr>
        <w:spacing w:after="0" w:line="240" w:lineRule="auto"/>
        <w:jc w:val="both"/>
        <w:rPr>
          <w:rFonts w:ascii="Arial" w:eastAsia="Times New Roman" w:hAnsi="Arial" w:cs="Arial"/>
          <w:sz w:val="20"/>
          <w:szCs w:val="20"/>
        </w:rPr>
      </w:pPr>
    </w:p>
    <w:p w:rsidR="009623D0" w:rsidRPr="009623D0" w:rsidRDefault="009623D0" w:rsidP="009A04F0">
      <w:pPr>
        <w:spacing w:after="0" w:line="240" w:lineRule="auto"/>
        <w:jc w:val="both"/>
        <w:rPr>
          <w:rFonts w:ascii="Arial" w:eastAsia="Times New Roman" w:hAnsi="Arial" w:cs="Arial"/>
          <w:b/>
          <w:sz w:val="20"/>
          <w:szCs w:val="20"/>
          <w:u w:val="single"/>
        </w:rPr>
      </w:pPr>
      <w:r w:rsidRPr="009623D0">
        <w:rPr>
          <w:rFonts w:ascii="Arial" w:eastAsia="Times New Roman" w:hAnsi="Arial" w:cs="Arial"/>
          <w:b/>
          <w:sz w:val="20"/>
          <w:szCs w:val="20"/>
          <w:u w:val="single"/>
        </w:rPr>
        <w:t>SUMMARY</w:t>
      </w:r>
    </w:p>
    <w:p w:rsidR="009623D0" w:rsidRDefault="009623D0" w:rsidP="009A04F0">
      <w:pPr>
        <w:spacing w:after="0" w:line="240" w:lineRule="auto"/>
        <w:jc w:val="both"/>
        <w:rPr>
          <w:rFonts w:ascii="Arial" w:eastAsia="Times New Roman" w:hAnsi="Arial" w:cs="Arial"/>
          <w:sz w:val="20"/>
          <w:szCs w:val="20"/>
        </w:rPr>
      </w:pPr>
      <w:r>
        <w:rPr>
          <w:rFonts w:ascii="Arial" w:eastAsia="Times New Roman" w:hAnsi="Arial" w:cs="Arial"/>
          <w:sz w:val="20"/>
          <w:szCs w:val="20"/>
        </w:rPr>
        <w:t>This bill provides for the regulation of for-hire, ride share network services</w:t>
      </w:r>
      <w:r w:rsidR="00573CA4">
        <w:rPr>
          <w:rStyle w:val="FootnoteReference"/>
          <w:rFonts w:ascii="Arial" w:eastAsia="Times New Roman" w:hAnsi="Arial" w:cs="Arial"/>
          <w:sz w:val="20"/>
          <w:szCs w:val="20"/>
        </w:rPr>
        <w:footnoteReference w:id="1"/>
      </w:r>
      <w:r>
        <w:rPr>
          <w:rFonts w:ascii="Arial" w:eastAsia="Times New Roman" w:hAnsi="Arial" w:cs="Arial"/>
          <w:sz w:val="20"/>
          <w:szCs w:val="20"/>
        </w:rPr>
        <w:t xml:space="preserve"> (primarily </w:t>
      </w:r>
      <w:proofErr w:type="spellStart"/>
      <w:r>
        <w:rPr>
          <w:rFonts w:ascii="Arial" w:eastAsia="Times New Roman" w:hAnsi="Arial" w:cs="Arial"/>
          <w:sz w:val="20"/>
          <w:szCs w:val="20"/>
        </w:rPr>
        <w:t>Uber</w:t>
      </w:r>
      <w:proofErr w:type="spellEnd"/>
      <w:r>
        <w:rPr>
          <w:rFonts w:ascii="Arial" w:eastAsia="Times New Roman" w:hAnsi="Arial" w:cs="Arial"/>
          <w:sz w:val="20"/>
          <w:szCs w:val="20"/>
        </w:rPr>
        <w:t xml:space="preserve"> and </w:t>
      </w:r>
      <w:proofErr w:type="spellStart"/>
      <w:r>
        <w:rPr>
          <w:rFonts w:ascii="Arial" w:eastAsia="Times New Roman" w:hAnsi="Arial" w:cs="Arial"/>
          <w:sz w:val="20"/>
          <w:szCs w:val="20"/>
        </w:rPr>
        <w:t>Lyft</w:t>
      </w:r>
      <w:proofErr w:type="spellEnd"/>
      <w:r>
        <w:rPr>
          <w:rFonts w:ascii="Arial" w:eastAsia="Times New Roman" w:hAnsi="Arial" w:cs="Arial"/>
          <w:sz w:val="20"/>
          <w:szCs w:val="20"/>
        </w:rPr>
        <w:t>).  Key provisions of the bill include:</w:t>
      </w:r>
    </w:p>
    <w:p w:rsidR="009623D0" w:rsidRDefault="00573CA4" w:rsidP="009A04F0">
      <w:pPr>
        <w:pStyle w:val="ListParagraph"/>
        <w:numPr>
          <w:ilvl w:val="0"/>
          <w:numId w:val="1"/>
        </w:numPr>
        <w:spacing w:after="0" w:line="240" w:lineRule="auto"/>
        <w:jc w:val="both"/>
        <w:rPr>
          <w:rFonts w:ascii="Arial" w:eastAsia="Times New Roman" w:hAnsi="Arial" w:cs="Arial"/>
          <w:sz w:val="20"/>
          <w:szCs w:val="20"/>
        </w:rPr>
      </w:pPr>
      <w:r>
        <w:rPr>
          <w:rFonts w:ascii="Arial" w:eastAsia="Times New Roman" w:hAnsi="Arial" w:cs="Arial"/>
          <w:sz w:val="20"/>
          <w:szCs w:val="20"/>
        </w:rPr>
        <w:t>Requiring</w:t>
      </w:r>
      <w:r w:rsidR="009623D0">
        <w:rPr>
          <w:rFonts w:ascii="Arial" w:eastAsia="Times New Roman" w:hAnsi="Arial" w:cs="Arial"/>
          <w:sz w:val="20"/>
          <w:szCs w:val="20"/>
        </w:rPr>
        <w:t xml:space="preserve"> </w:t>
      </w:r>
      <w:bookmarkStart w:id="0" w:name="_GoBack"/>
      <w:bookmarkEnd w:id="0"/>
      <w:r w:rsidR="009623D0">
        <w:rPr>
          <w:rFonts w:ascii="Arial" w:eastAsia="Times New Roman" w:hAnsi="Arial" w:cs="Arial"/>
          <w:sz w:val="20"/>
          <w:szCs w:val="20"/>
        </w:rPr>
        <w:t xml:space="preserve">drivers for ride-sharing </w:t>
      </w:r>
      <w:r w:rsidR="00BC7AF2">
        <w:rPr>
          <w:rFonts w:ascii="Arial" w:eastAsia="Times New Roman" w:hAnsi="Arial" w:cs="Arial"/>
          <w:sz w:val="20"/>
          <w:szCs w:val="20"/>
        </w:rPr>
        <w:t>companies</w:t>
      </w:r>
      <w:r w:rsidR="009623D0">
        <w:rPr>
          <w:rFonts w:ascii="Arial" w:eastAsia="Times New Roman" w:hAnsi="Arial" w:cs="Arial"/>
          <w:sz w:val="20"/>
          <w:szCs w:val="20"/>
        </w:rPr>
        <w:t xml:space="preserve"> to be subject to background checks, either by the Department of Driver’s Services OR a </w:t>
      </w:r>
      <w:r w:rsidR="00BC7AF2">
        <w:rPr>
          <w:rFonts w:ascii="Arial" w:eastAsia="Times New Roman" w:hAnsi="Arial" w:cs="Arial"/>
          <w:sz w:val="20"/>
          <w:szCs w:val="20"/>
        </w:rPr>
        <w:t>private company;</w:t>
      </w:r>
    </w:p>
    <w:p w:rsidR="009623D0" w:rsidRDefault="00573CA4" w:rsidP="009A04F0">
      <w:pPr>
        <w:pStyle w:val="ListParagraph"/>
        <w:numPr>
          <w:ilvl w:val="0"/>
          <w:numId w:val="1"/>
        </w:numPr>
        <w:spacing w:after="0" w:line="240" w:lineRule="auto"/>
        <w:jc w:val="both"/>
        <w:rPr>
          <w:rFonts w:ascii="Arial" w:eastAsia="Times New Roman" w:hAnsi="Arial" w:cs="Arial"/>
          <w:sz w:val="20"/>
          <w:szCs w:val="20"/>
        </w:rPr>
      </w:pPr>
      <w:r>
        <w:rPr>
          <w:rFonts w:ascii="Arial" w:eastAsia="Times New Roman" w:hAnsi="Arial" w:cs="Arial"/>
          <w:sz w:val="20"/>
          <w:szCs w:val="20"/>
        </w:rPr>
        <w:t>Requiring</w:t>
      </w:r>
      <w:r w:rsidR="00BC7AF2">
        <w:rPr>
          <w:rFonts w:ascii="Arial" w:eastAsia="Times New Roman" w:hAnsi="Arial" w:cs="Arial"/>
          <w:sz w:val="20"/>
          <w:szCs w:val="20"/>
        </w:rPr>
        <w:t xml:space="preserve"> </w:t>
      </w:r>
      <w:r w:rsidR="00B375DB">
        <w:rPr>
          <w:rFonts w:ascii="Arial" w:eastAsia="Times New Roman" w:hAnsi="Arial" w:cs="Arial"/>
          <w:sz w:val="20"/>
          <w:szCs w:val="20"/>
        </w:rPr>
        <w:t xml:space="preserve">any company engaging in for-hire transportation to </w:t>
      </w:r>
      <w:r w:rsidR="00BC7AF2">
        <w:rPr>
          <w:rFonts w:ascii="Arial" w:eastAsia="Times New Roman" w:hAnsi="Arial" w:cs="Arial"/>
          <w:sz w:val="20"/>
          <w:szCs w:val="20"/>
        </w:rPr>
        <w:t xml:space="preserve">purchase </w:t>
      </w:r>
      <w:r w:rsidR="00F07B52">
        <w:rPr>
          <w:rFonts w:ascii="Arial" w:eastAsia="Times New Roman" w:hAnsi="Arial" w:cs="Arial"/>
          <w:sz w:val="20"/>
          <w:szCs w:val="20"/>
        </w:rPr>
        <w:t>annually a</w:t>
      </w:r>
      <w:r w:rsidR="00BC7AF2">
        <w:rPr>
          <w:rFonts w:ascii="Arial" w:eastAsia="Times New Roman" w:hAnsi="Arial" w:cs="Arial"/>
          <w:sz w:val="20"/>
          <w:szCs w:val="20"/>
        </w:rPr>
        <w:t xml:space="preserve"> master license based on the number of vehicles owned;</w:t>
      </w:r>
    </w:p>
    <w:p w:rsidR="00BC7AF2" w:rsidRDefault="00573CA4" w:rsidP="009A04F0">
      <w:pPr>
        <w:pStyle w:val="ListParagraph"/>
        <w:numPr>
          <w:ilvl w:val="0"/>
          <w:numId w:val="1"/>
        </w:numPr>
        <w:spacing w:after="0" w:line="240" w:lineRule="auto"/>
        <w:jc w:val="both"/>
        <w:rPr>
          <w:rFonts w:ascii="Arial" w:eastAsia="Times New Roman" w:hAnsi="Arial" w:cs="Arial"/>
          <w:sz w:val="20"/>
          <w:szCs w:val="20"/>
        </w:rPr>
      </w:pPr>
      <w:r>
        <w:rPr>
          <w:rFonts w:ascii="Arial" w:eastAsia="Times New Roman" w:hAnsi="Arial" w:cs="Arial"/>
          <w:sz w:val="20"/>
          <w:szCs w:val="20"/>
        </w:rPr>
        <w:t>Requiring</w:t>
      </w:r>
      <w:r w:rsidR="00BC7AF2">
        <w:rPr>
          <w:rFonts w:ascii="Arial" w:eastAsia="Times New Roman" w:hAnsi="Arial" w:cs="Arial"/>
          <w:sz w:val="20"/>
          <w:szCs w:val="20"/>
        </w:rPr>
        <w:t xml:space="preserve"> ride-sharing companies to carry the same level of liability insurance as is required </w:t>
      </w:r>
      <w:r w:rsidR="00654B38">
        <w:rPr>
          <w:rFonts w:ascii="Arial" w:eastAsia="Times New Roman" w:hAnsi="Arial" w:cs="Arial"/>
          <w:sz w:val="20"/>
          <w:szCs w:val="20"/>
        </w:rPr>
        <w:t>of taxi and limousine companies;</w:t>
      </w:r>
      <w:r w:rsidR="00B375DB">
        <w:rPr>
          <w:rFonts w:ascii="Arial" w:eastAsia="Times New Roman" w:hAnsi="Arial" w:cs="Arial"/>
          <w:sz w:val="20"/>
          <w:szCs w:val="20"/>
        </w:rPr>
        <w:t xml:space="preserve"> and</w:t>
      </w:r>
    </w:p>
    <w:p w:rsidR="00B375DB" w:rsidRDefault="00573CA4" w:rsidP="00B375DB">
      <w:pPr>
        <w:pStyle w:val="ListParagraph"/>
        <w:numPr>
          <w:ilvl w:val="0"/>
          <w:numId w:val="1"/>
        </w:numPr>
        <w:spacing w:after="0" w:line="240" w:lineRule="auto"/>
        <w:jc w:val="both"/>
        <w:rPr>
          <w:rFonts w:ascii="Arial" w:eastAsia="Times New Roman" w:hAnsi="Arial" w:cs="Arial"/>
          <w:sz w:val="20"/>
          <w:szCs w:val="20"/>
        </w:rPr>
      </w:pPr>
      <w:r>
        <w:rPr>
          <w:rFonts w:ascii="Arial" w:eastAsia="Times New Roman" w:hAnsi="Arial" w:cs="Arial"/>
          <w:sz w:val="20"/>
          <w:szCs w:val="20"/>
        </w:rPr>
        <w:t>Placing a freeze on the issuance of taxicab medallions</w:t>
      </w:r>
      <w:r w:rsidR="00981079">
        <w:rPr>
          <w:rFonts w:ascii="Arial" w:eastAsia="Times New Roman" w:hAnsi="Arial" w:cs="Arial"/>
          <w:sz w:val="20"/>
          <w:szCs w:val="20"/>
        </w:rPr>
        <w:t xml:space="preserve"> by municipalities and counties.</w:t>
      </w:r>
      <w:r>
        <w:rPr>
          <w:rFonts w:ascii="Arial" w:eastAsia="Times New Roman" w:hAnsi="Arial" w:cs="Arial"/>
          <w:sz w:val="20"/>
          <w:szCs w:val="20"/>
        </w:rPr>
        <w:t xml:space="preserve"> </w:t>
      </w:r>
    </w:p>
    <w:p w:rsidR="00B375DB" w:rsidRPr="00B375DB" w:rsidRDefault="00B375DB" w:rsidP="00B375DB">
      <w:pPr>
        <w:spacing w:after="0" w:line="240" w:lineRule="auto"/>
        <w:ind w:left="360"/>
        <w:jc w:val="both"/>
        <w:rPr>
          <w:rFonts w:ascii="Arial" w:eastAsia="Times New Roman" w:hAnsi="Arial" w:cs="Arial"/>
          <w:sz w:val="20"/>
          <w:szCs w:val="20"/>
        </w:rPr>
      </w:pPr>
    </w:p>
    <w:p w:rsidR="00B375DB" w:rsidRPr="00B375DB" w:rsidRDefault="00B375DB" w:rsidP="00B375DB">
      <w:r w:rsidRPr="00B375DB">
        <w:t>The House floor amendment offers the following changes:</w:t>
      </w:r>
    </w:p>
    <w:p w:rsidR="00B375DB" w:rsidRPr="00B375DB" w:rsidRDefault="00B375DB" w:rsidP="00B375DB">
      <w:pPr>
        <w:pStyle w:val="ListParagraph"/>
        <w:numPr>
          <w:ilvl w:val="0"/>
          <w:numId w:val="2"/>
        </w:numPr>
        <w:spacing w:after="0" w:line="240" w:lineRule="auto"/>
        <w:contextualSpacing w:val="0"/>
      </w:pPr>
      <w:r w:rsidRPr="00B375DB">
        <w:t xml:space="preserve">The version of the bill that passed the Senate required owners of for-hire vehicles to </w:t>
      </w:r>
      <w:proofErr w:type="gramStart"/>
      <w:r w:rsidRPr="00B375DB">
        <w:t>either pay sales and</w:t>
      </w:r>
      <w:proofErr w:type="gramEnd"/>
      <w:r w:rsidRPr="00B375DB">
        <w:t xml:space="preserve"> use tax, or obtain a master license with an annual fee.  The House </w:t>
      </w:r>
      <w:proofErr w:type="gramStart"/>
      <w:r w:rsidRPr="00B375DB">
        <w:t>amendment  struck</w:t>
      </w:r>
      <w:proofErr w:type="gramEnd"/>
      <w:r w:rsidRPr="00B375DB">
        <w:t xml:space="preserve"> the option to pay sales and use tax, and retained the master license requirement.  Additionally, the master license must be obtained by July 1, 2017, rather than the Senate requirement of July 1, 2016.</w:t>
      </w:r>
    </w:p>
    <w:p w:rsidR="00B375DB" w:rsidRPr="00B375DB" w:rsidRDefault="00B375DB" w:rsidP="00B375DB">
      <w:pPr>
        <w:pStyle w:val="ListParagraph"/>
        <w:numPr>
          <w:ilvl w:val="0"/>
          <w:numId w:val="2"/>
        </w:numPr>
        <w:spacing w:after="0" w:line="240" w:lineRule="auto"/>
        <w:contextualSpacing w:val="0"/>
      </w:pPr>
      <w:r w:rsidRPr="00B375DB">
        <w:t xml:space="preserve">This bill alters the distribution of the master license fee.  The Senate version required that 57 percent shall be retained by the state for deposit in the general fund and 43 percent shall be forwarded to the county tag agent to for distribution.  The House amendment requires 57 percent of the fee to be deposited into the general fund and 43 percent to be divided proportionately according to population to the county or counties in which the vehicles operate.  The owner of the master license shall provide a written declaration setting forth the county or counties in which vehicles operate.  </w:t>
      </w:r>
    </w:p>
    <w:p w:rsidR="00573CA4" w:rsidRDefault="00573CA4" w:rsidP="009A04F0">
      <w:pPr>
        <w:spacing w:after="0" w:line="240" w:lineRule="auto"/>
        <w:jc w:val="both"/>
        <w:rPr>
          <w:rFonts w:ascii="Arial" w:eastAsia="Times New Roman" w:hAnsi="Arial" w:cs="Arial"/>
          <w:sz w:val="20"/>
          <w:szCs w:val="20"/>
        </w:rPr>
      </w:pPr>
    </w:p>
    <w:p w:rsidR="00573CA4" w:rsidRDefault="00573CA4" w:rsidP="009A04F0">
      <w:pPr>
        <w:spacing w:after="0" w:line="240" w:lineRule="auto"/>
        <w:jc w:val="both"/>
        <w:rPr>
          <w:rFonts w:ascii="Arial" w:eastAsia="Times New Roman" w:hAnsi="Arial" w:cs="Arial"/>
          <w:b/>
          <w:sz w:val="20"/>
          <w:szCs w:val="20"/>
          <w:u w:val="single"/>
        </w:rPr>
      </w:pPr>
      <w:r>
        <w:rPr>
          <w:rFonts w:ascii="Arial" w:eastAsia="Times New Roman" w:hAnsi="Arial" w:cs="Arial"/>
          <w:b/>
          <w:sz w:val="20"/>
          <w:szCs w:val="20"/>
          <w:u w:val="single"/>
        </w:rPr>
        <w:t>ANALYSIS</w:t>
      </w:r>
    </w:p>
    <w:p w:rsidR="00573CA4" w:rsidRDefault="00573CA4" w:rsidP="009A04F0">
      <w:pPr>
        <w:spacing w:after="0" w:line="240" w:lineRule="auto"/>
        <w:jc w:val="both"/>
        <w:rPr>
          <w:rFonts w:ascii="Arial" w:eastAsia="Times New Roman" w:hAnsi="Arial" w:cs="Arial"/>
          <w:b/>
          <w:sz w:val="20"/>
          <w:szCs w:val="20"/>
          <w:u w:val="single"/>
        </w:rPr>
      </w:pPr>
    </w:p>
    <w:p w:rsidR="00573CA4" w:rsidRDefault="00573CA4" w:rsidP="009A04F0">
      <w:pPr>
        <w:spacing w:after="0" w:line="240" w:lineRule="auto"/>
        <w:jc w:val="both"/>
        <w:rPr>
          <w:rFonts w:ascii="Arial" w:eastAsia="Times New Roman" w:hAnsi="Arial" w:cs="Arial"/>
          <w:sz w:val="20"/>
          <w:szCs w:val="20"/>
          <w:u w:val="single"/>
        </w:rPr>
      </w:pPr>
      <w:r>
        <w:rPr>
          <w:rFonts w:ascii="Arial" w:eastAsia="Times New Roman" w:hAnsi="Arial" w:cs="Arial"/>
          <w:sz w:val="20"/>
          <w:szCs w:val="20"/>
          <w:u w:val="single"/>
        </w:rPr>
        <w:t>Taxicab Medallions</w:t>
      </w:r>
    </w:p>
    <w:p w:rsidR="00573CA4" w:rsidRDefault="00573CA4" w:rsidP="009A04F0">
      <w:pPr>
        <w:spacing w:after="0" w:line="240" w:lineRule="auto"/>
        <w:jc w:val="both"/>
        <w:rPr>
          <w:rFonts w:ascii="Arial" w:eastAsia="Times New Roman" w:hAnsi="Arial" w:cs="Arial"/>
          <w:sz w:val="20"/>
          <w:szCs w:val="20"/>
        </w:rPr>
      </w:pPr>
      <w:r>
        <w:rPr>
          <w:rFonts w:ascii="Arial" w:eastAsia="Times New Roman" w:hAnsi="Arial" w:cs="Arial"/>
          <w:sz w:val="20"/>
          <w:szCs w:val="20"/>
        </w:rPr>
        <w:t>Counties or municipalities that as of July 1, 2014 required taxicabs to have certificates of public necessity and convenience or medallions to operate may continue such requirement.  No other county or municipality shall require the issuance of certificates of public necessity and convenience or medallions.</w:t>
      </w:r>
    </w:p>
    <w:p w:rsidR="008F7467" w:rsidRDefault="008F7467" w:rsidP="009A04F0">
      <w:pPr>
        <w:spacing w:after="0" w:line="240" w:lineRule="auto"/>
        <w:jc w:val="both"/>
        <w:rPr>
          <w:rFonts w:ascii="Arial" w:eastAsia="Times New Roman" w:hAnsi="Arial" w:cs="Arial"/>
          <w:sz w:val="20"/>
          <w:szCs w:val="20"/>
        </w:rPr>
      </w:pPr>
    </w:p>
    <w:p w:rsidR="008F7467" w:rsidRDefault="008F7467" w:rsidP="009A04F0">
      <w:pPr>
        <w:spacing w:after="0" w:line="240" w:lineRule="auto"/>
        <w:jc w:val="both"/>
        <w:rPr>
          <w:rFonts w:ascii="Arial" w:eastAsia="Times New Roman" w:hAnsi="Arial" w:cs="Arial"/>
          <w:sz w:val="20"/>
          <w:szCs w:val="20"/>
          <w:u w:val="single"/>
        </w:rPr>
      </w:pPr>
      <w:r>
        <w:rPr>
          <w:rFonts w:ascii="Arial" w:eastAsia="Times New Roman" w:hAnsi="Arial" w:cs="Arial"/>
          <w:sz w:val="20"/>
          <w:szCs w:val="20"/>
          <w:u w:val="single"/>
        </w:rPr>
        <w:t>Insurance Requirements for Taxicabs and Limousines</w:t>
      </w:r>
    </w:p>
    <w:p w:rsidR="008F7467" w:rsidRPr="008F7467" w:rsidRDefault="008F7467" w:rsidP="009A04F0">
      <w:pPr>
        <w:spacing w:after="0" w:line="240" w:lineRule="auto"/>
        <w:jc w:val="both"/>
        <w:rPr>
          <w:rFonts w:ascii="Arial" w:eastAsia="Times New Roman" w:hAnsi="Arial" w:cs="Arial"/>
          <w:sz w:val="20"/>
          <w:szCs w:val="20"/>
        </w:rPr>
      </w:pPr>
      <w:r>
        <w:rPr>
          <w:rFonts w:ascii="Arial" w:eastAsia="Times New Roman" w:hAnsi="Arial" w:cs="Arial"/>
          <w:sz w:val="20"/>
          <w:szCs w:val="20"/>
        </w:rPr>
        <w:t>No person shall operate a taxicab unless such person maintain insurance from an insurance company licensed under Title 33, through a surplus line broker licensed under Title 33, or is qualified as a self-insurer.</w:t>
      </w:r>
    </w:p>
    <w:p w:rsidR="00573CA4" w:rsidRDefault="00573CA4" w:rsidP="009A04F0">
      <w:pPr>
        <w:spacing w:after="0" w:line="240" w:lineRule="auto"/>
        <w:jc w:val="both"/>
        <w:rPr>
          <w:rFonts w:ascii="Arial" w:eastAsia="Times New Roman" w:hAnsi="Arial" w:cs="Arial"/>
          <w:sz w:val="20"/>
          <w:szCs w:val="20"/>
        </w:rPr>
      </w:pPr>
    </w:p>
    <w:p w:rsidR="008F7467" w:rsidRPr="008F7467" w:rsidRDefault="008F7467" w:rsidP="009A04F0">
      <w:pPr>
        <w:spacing w:after="0" w:line="240" w:lineRule="auto"/>
        <w:jc w:val="both"/>
        <w:rPr>
          <w:rFonts w:ascii="Arial" w:eastAsia="Times New Roman" w:hAnsi="Arial" w:cs="Arial"/>
          <w:i/>
          <w:sz w:val="20"/>
          <w:szCs w:val="20"/>
        </w:rPr>
      </w:pPr>
      <w:r>
        <w:rPr>
          <w:rFonts w:ascii="Arial" w:eastAsia="Times New Roman" w:hAnsi="Arial" w:cs="Arial"/>
          <w:sz w:val="20"/>
          <w:szCs w:val="20"/>
        </w:rPr>
        <w:t xml:space="preserve">Current law provides that a limousine carrier shall obtain and maintain commercial indemnity and liability insurance with an insurance company </w:t>
      </w:r>
      <w:r>
        <w:rPr>
          <w:rFonts w:ascii="Arial" w:eastAsia="Times New Roman" w:hAnsi="Arial" w:cs="Arial"/>
          <w:i/>
          <w:sz w:val="20"/>
          <w:szCs w:val="20"/>
        </w:rPr>
        <w:t xml:space="preserve">authorized to do business in this state.  </w:t>
      </w:r>
      <w:r>
        <w:rPr>
          <w:rFonts w:ascii="Arial" w:eastAsia="Times New Roman" w:hAnsi="Arial" w:cs="Arial"/>
          <w:sz w:val="20"/>
          <w:szCs w:val="20"/>
        </w:rPr>
        <w:t xml:space="preserve">This bill amends that provision by requiring each limousine carrier to obtain and maintain such insurance with an insurance company </w:t>
      </w:r>
      <w:r>
        <w:rPr>
          <w:rFonts w:ascii="Arial" w:eastAsia="Times New Roman" w:hAnsi="Arial" w:cs="Arial"/>
          <w:i/>
          <w:sz w:val="20"/>
          <w:szCs w:val="20"/>
        </w:rPr>
        <w:t>licensed under Title 33 or through a surplus line broker licensed under Title 33.</w:t>
      </w:r>
    </w:p>
    <w:p w:rsidR="0066318E" w:rsidRDefault="0066318E" w:rsidP="009A04F0">
      <w:pPr>
        <w:spacing w:after="0" w:line="240" w:lineRule="auto"/>
        <w:jc w:val="both"/>
        <w:rPr>
          <w:rFonts w:ascii="Arial" w:eastAsia="Times New Roman" w:hAnsi="Arial" w:cs="Arial"/>
          <w:sz w:val="20"/>
          <w:szCs w:val="20"/>
          <w:u w:val="single"/>
        </w:rPr>
      </w:pPr>
    </w:p>
    <w:p w:rsidR="00573CA4" w:rsidRPr="004A775A" w:rsidRDefault="004A775A" w:rsidP="009A04F0">
      <w:pPr>
        <w:spacing w:after="0" w:line="240" w:lineRule="auto"/>
        <w:jc w:val="both"/>
        <w:rPr>
          <w:rFonts w:ascii="Arial" w:eastAsia="Times New Roman" w:hAnsi="Arial" w:cs="Arial"/>
          <w:sz w:val="20"/>
          <w:szCs w:val="20"/>
          <w:u w:val="single"/>
        </w:rPr>
      </w:pPr>
      <w:r>
        <w:rPr>
          <w:rFonts w:ascii="Arial" w:eastAsia="Times New Roman" w:hAnsi="Arial" w:cs="Arial"/>
          <w:sz w:val="20"/>
          <w:szCs w:val="20"/>
          <w:u w:val="single"/>
        </w:rPr>
        <w:lastRenderedPageBreak/>
        <w:t>Regulation of Transportation Referral Service</w:t>
      </w:r>
      <w:r>
        <w:rPr>
          <w:rStyle w:val="FootnoteReference"/>
          <w:rFonts w:ascii="Arial" w:eastAsia="Times New Roman" w:hAnsi="Arial" w:cs="Arial"/>
          <w:sz w:val="20"/>
          <w:szCs w:val="20"/>
          <w:u w:val="single"/>
        </w:rPr>
        <w:footnoteReference w:id="2"/>
      </w:r>
      <w:r w:rsidR="00454928">
        <w:rPr>
          <w:rFonts w:ascii="Arial" w:eastAsia="Times New Roman" w:hAnsi="Arial" w:cs="Arial"/>
          <w:sz w:val="20"/>
          <w:szCs w:val="20"/>
          <w:u w:val="single"/>
        </w:rPr>
        <w:t xml:space="preserve"> and Transportation Referral Service Provider</w:t>
      </w:r>
      <w:r w:rsidR="00454928">
        <w:rPr>
          <w:rStyle w:val="FootnoteReference"/>
          <w:rFonts w:ascii="Arial" w:eastAsia="Times New Roman" w:hAnsi="Arial" w:cs="Arial"/>
          <w:sz w:val="20"/>
          <w:szCs w:val="20"/>
        </w:rPr>
        <w:footnoteReference w:id="3"/>
      </w:r>
      <w:r w:rsidR="00654B38">
        <w:rPr>
          <w:rFonts w:ascii="Arial" w:eastAsia="Times New Roman" w:hAnsi="Arial" w:cs="Arial"/>
          <w:sz w:val="20"/>
          <w:szCs w:val="20"/>
          <w:u w:val="single"/>
        </w:rPr>
        <w:t xml:space="preserve"> </w:t>
      </w:r>
    </w:p>
    <w:p w:rsidR="00512AF4" w:rsidRDefault="00DE4D7A" w:rsidP="009A04F0">
      <w:pPr>
        <w:spacing w:after="0" w:line="240" w:lineRule="auto"/>
        <w:jc w:val="both"/>
        <w:rPr>
          <w:rFonts w:ascii="Arial" w:eastAsia="Times New Roman" w:hAnsi="Arial" w:cs="Arial"/>
          <w:sz w:val="20"/>
          <w:szCs w:val="20"/>
        </w:rPr>
      </w:pPr>
      <w:r>
        <w:rPr>
          <w:rFonts w:ascii="Arial" w:eastAsia="Times New Roman" w:hAnsi="Arial" w:cs="Arial"/>
          <w:sz w:val="20"/>
          <w:szCs w:val="20"/>
        </w:rPr>
        <w:t>Each transportation referral service</w:t>
      </w:r>
      <w:r w:rsidR="009F3585">
        <w:rPr>
          <w:rFonts w:ascii="Arial" w:eastAsia="Times New Roman" w:hAnsi="Arial" w:cs="Arial"/>
          <w:sz w:val="20"/>
          <w:szCs w:val="20"/>
        </w:rPr>
        <w:t xml:space="preserve"> (TRS)</w:t>
      </w:r>
      <w:r>
        <w:rPr>
          <w:rFonts w:ascii="Arial" w:eastAsia="Times New Roman" w:hAnsi="Arial" w:cs="Arial"/>
          <w:sz w:val="20"/>
          <w:szCs w:val="20"/>
        </w:rPr>
        <w:t xml:space="preserve"> or transportation referral service provider</w:t>
      </w:r>
      <w:r w:rsidR="009F3585">
        <w:rPr>
          <w:rFonts w:ascii="Arial" w:eastAsia="Times New Roman" w:hAnsi="Arial" w:cs="Arial"/>
          <w:sz w:val="20"/>
          <w:szCs w:val="20"/>
        </w:rPr>
        <w:t xml:space="preserve"> (TRSP)</w:t>
      </w:r>
      <w:r>
        <w:rPr>
          <w:rFonts w:ascii="Arial" w:eastAsia="Times New Roman" w:hAnsi="Arial" w:cs="Arial"/>
          <w:sz w:val="20"/>
          <w:szCs w:val="20"/>
        </w:rPr>
        <w:t xml:space="preserve"> must register with the Department of Public Safety (Department).</w:t>
      </w:r>
      <w:r w:rsidR="0066318E">
        <w:rPr>
          <w:rFonts w:ascii="Arial" w:eastAsia="Times New Roman" w:hAnsi="Arial" w:cs="Arial"/>
          <w:sz w:val="20"/>
          <w:szCs w:val="20"/>
        </w:rPr>
        <w:t xml:space="preserve"> </w:t>
      </w:r>
      <w:r>
        <w:rPr>
          <w:rFonts w:ascii="Arial" w:eastAsia="Times New Roman" w:hAnsi="Arial" w:cs="Arial"/>
          <w:sz w:val="20"/>
          <w:szCs w:val="20"/>
        </w:rPr>
        <w:t xml:space="preserve"> </w:t>
      </w:r>
      <w:r w:rsidR="009F3585">
        <w:rPr>
          <w:rFonts w:ascii="Arial" w:eastAsia="Times New Roman" w:hAnsi="Arial" w:cs="Arial"/>
          <w:sz w:val="20"/>
          <w:szCs w:val="20"/>
        </w:rPr>
        <w:t>Each TRS doing business in this state must file and keep current with the Department a list of all limousine carriers and taxi service</w:t>
      </w:r>
      <w:r w:rsidR="00324DD6">
        <w:rPr>
          <w:rFonts w:ascii="Arial" w:eastAsia="Times New Roman" w:hAnsi="Arial" w:cs="Arial"/>
          <w:sz w:val="20"/>
          <w:szCs w:val="20"/>
        </w:rPr>
        <w:t>s</w:t>
      </w:r>
      <w:r w:rsidR="009F3585">
        <w:rPr>
          <w:rFonts w:ascii="Arial" w:eastAsia="Times New Roman" w:hAnsi="Arial" w:cs="Arial"/>
          <w:sz w:val="20"/>
          <w:szCs w:val="20"/>
        </w:rPr>
        <w:t xml:space="preserve"> which it utilizes to provide transposition services in this state.   The list is not subject to public disclosure.  Each TRSP doing business in this state must</w:t>
      </w:r>
      <w:r w:rsidR="00324DD6">
        <w:rPr>
          <w:rFonts w:ascii="Arial" w:eastAsia="Times New Roman" w:hAnsi="Arial" w:cs="Arial"/>
          <w:sz w:val="20"/>
          <w:szCs w:val="20"/>
        </w:rPr>
        <w:t>:</w:t>
      </w:r>
      <w:r w:rsidR="009F3585">
        <w:rPr>
          <w:rFonts w:ascii="Arial" w:eastAsia="Times New Roman" w:hAnsi="Arial" w:cs="Arial"/>
          <w:sz w:val="20"/>
          <w:szCs w:val="20"/>
        </w:rPr>
        <w:t xml:space="preserve"> determine that each taxi service to which it refers business holds a certificate of public necessity and convenience or a medallion; determine that each tax service is registered with the Department and holds the necessary local government permits; determine that each limousine carrier to which it refers is properly licensed and registered; ensure that the drivers employed or contracted with a limousine carrier or taxi service are properly licensed; </w:t>
      </w:r>
      <w:r w:rsidR="00454928">
        <w:rPr>
          <w:rFonts w:ascii="Arial" w:eastAsia="Times New Roman" w:hAnsi="Arial" w:cs="Arial"/>
          <w:sz w:val="20"/>
          <w:szCs w:val="20"/>
        </w:rPr>
        <w:t xml:space="preserve">ensure that each driver utilized by TRSP has a current for-hire license endorsement or current private background check certification; </w:t>
      </w:r>
      <w:r w:rsidR="00324DD6">
        <w:rPr>
          <w:rFonts w:ascii="Arial" w:eastAsia="Times New Roman" w:hAnsi="Arial" w:cs="Arial"/>
          <w:sz w:val="20"/>
          <w:szCs w:val="20"/>
        </w:rPr>
        <w:t>has a zero tolerance policy regarding</w:t>
      </w:r>
      <w:r w:rsidR="00512AF4">
        <w:rPr>
          <w:rFonts w:ascii="Arial" w:eastAsia="Times New Roman" w:hAnsi="Arial" w:cs="Arial"/>
          <w:sz w:val="20"/>
          <w:szCs w:val="20"/>
        </w:rPr>
        <w:t xml:space="preserve"> the use of drugs or alcohol while on duty; ensure that each limousine service or taxi service has the correct insurance; and ensure that taxi services are in compliance with fare structures as established by local governments.</w:t>
      </w:r>
    </w:p>
    <w:p w:rsidR="00512AF4" w:rsidRDefault="00512AF4" w:rsidP="009A04F0">
      <w:pPr>
        <w:spacing w:after="0" w:line="240" w:lineRule="auto"/>
        <w:jc w:val="both"/>
        <w:rPr>
          <w:rFonts w:ascii="Arial" w:eastAsia="Times New Roman" w:hAnsi="Arial" w:cs="Arial"/>
          <w:sz w:val="20"/>
          <w:szCs w:val="20"/>
        </w:rPr>
      </w:pPr>
    </w:p>
    <w:p w:rsidR="00512AF4" w:rsidRDefault="00512AF4" w:rsidP="009A04F0">
      <w:pPr>
        <w:spacing w:after="0" w:line="240" w:lineRule="auto"/>
        <w:jc w:val="both"/>
        <w:rPr>
          <w:rFonts w:ascii="Arial" w:eastAsia="Times New Roman" w:hAnsi="Arial" w:cs="Arial"/>
          <w:sz w:val="20"/>
          <w:szCs w:val="20"/>
          <w:u w:val="single"/>
        </w:rPr>
      </w:pPr>
      <w:r>
        <w:rPr>
          <w:rFonts w:ascii="Arial" w:eastAsia="Times New Roman" w:hAnsi="Arial" w:cs="Arial"/>
          <w:sz w:val="20"/>
          <w:szCs w:val="20"/>
          <w:u w:val="single"/>
        </w:rPr>
        <w:t>Regulation of Ride Share Network Service</w:t>
      </w:r>
      <w:r>
        <w:rPr>
          <w:rStyle w:val="FootnoteReference"/>
          <w:rFonts w:ascii="Arial" w:eastAsia="Times New Roman" w:hAnsi="Arial" w:cs="Arial"/>
          <w:sz w:val="20"/>
          <w:szCs w:val="20"/>
          <w:u w:val="single"/>
        </w:rPr>
        <w:footnoteReference w:id="4"/>
      </w:r>
    </w:p>
    <w:p w:rsidR="00512AF4" w:rsidRDefault="00512AF4" w:rsidP="009A04F0">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Each ride share network service (RSNS) doing business in this state must register with the Department and must maintain a list of all ride share drivers.  This list will not be </w:t>
      </w:r>
      <w:r w:rsidR="00241332">
        <w:rPr>
          <w:rFonts w:ascii="Arial" w:eastAsia="Times New Roman" w:hAnsi="Arial" w:cs="Arial"/>
          <w:sz w:val="20"/>
          <w:szCs w:val="20"/>
        </w:rPr>
        <w:t>subject</w:t>
      </w:r>
      <w:r>
        <w:rPr>
          <w:rFonts w:ascii="Arial" w:eastAsia="Times New Roman" w:hAnsi="Arial" w:cs="Arial"/>
          <w:sz w:val="20"/>
          <w:szCs w:val="20"/>
        </w:rPr>
        <w:t xml:space="preserve"> to disclosure, but must be made available for inspection by law </w:t>
      </w:r>
      <w:r w:rsidR="00241332">
        <w:rPr>
          <w:rFonts w:ascii="Arial" w:eastAsia="Times New Roman" w:hAnsi="Arial" w:cs="Arial"/>
          <w:sz w:val="20"/>
          <w:szCs w:val="20"/>
        </w:rPr>
        <w:t>enforcement</w:t>
      </w:r>
      <w:r>
        <w:rPr>
          <w:rFonts w:ascii="Arial" w:eastAsia="Times New Roman" w:hAnsi="Arial" w:cs="Arial"/>
          <w:sz w:val="20"/>
          <w:szCs w:val="20"/>
        </w:rPr>
        <w:t xml:space="preserve"> officers upon request.</w:t>
      </w:r>
    </w:p>
    <w:p w:rsidR="00512AF4" w:rsidRDefault="00512AF4" w:rsidP="009A04F0">
      <w:pPr>
        <w:spacing w:after="0" w:line="240" w:lineRule="auto"/>
        <w:jc w:val="both"/>
        <w:rPr>
          <w:rFonts w:ascii="Arial" w:eastAsia="Times New Roman" w:hAnsi="Arial" w:cs="Arial"/>
          <w:sz w:val="20"/>
          <w:szCs w:val="20"/>
        </w:rPr>
      </w:pPr>
    </w:p>
    <w:p w:rsidR="00454928" w:rsidRDefault="00512AF4" w:rsidP="009A04F0">
      <w:pPr>
        <w:spacing w:after="0" w:line="240" w:lineRule="auto"/>
        <w:jc w:val="both"/>
        <w:rPr>
          <w:rFonts w:ascii="Arial" w:eastAsia="Times New Roman" w:hAnsi="Arial" w:cs="Arial"/>
          <w:sz w:val="20"/>
          <w:szCs w:val="20"/>
        </w:rPr>
      </w:pPr>
      <w:r>
        <w:rPr>
          <w:rFonts w:ascii="Arial" w:eastAsia="Times New Roman" w:hAnsi="Arial" w:cs="Arial"/>
          <w:sz w:val="20"/>
          <w:szCs w:val="20"/>
        </w:rPr>
        <w:t>Each RSNS doing business in this state must: ensure that its drivers have required permits or licenses required by the federal government or the state; ensure that its drivers have a current for-hire license or current private background check certification</w:t>
      </w:r>
      <w:r w:rsidR="00241332">
        <w:rPr>
          <w:rFonts w:ascii="Arial" w:eastAsia="Times New Roman" w:hAnsi="Arial" w:cs="Arial"/>
          <w:sz w:val="20"/>
          <w:szCs w:val="20"/>
        </w:rPr>
        <w:t>; have</w:t>
      </w:r>
      <w:r w:rsidR="00324DD6">
        <w:rPr>
          <w:rFonts w:ascii="Arial" w:eastAsia="Times New Roman" w:hAnsi="Arial" w:cs="Arial"/>
          <w:sz w:val="20"/>
          <w:szCs w:val="20"/>
        </w:rPr>
        <w:t xml:space="preserve"> a zero tolerance policy regarding</w:t>
      </w:r>
      <w:r w:rsidRPr="00512AF4">
        <w:rPr>
          <w:rFonts w:ascii="Arial" w:eastAsia="Times New Roman" w:hAnsi="Arial" w:cs="Arial"/>
          <w:sz w:val="20"/>
          <w:szCs w:val="20"/>
        </w:rPr>
        <w:t xml:space="preserve"> the use of drugs or alcohol while on duty</w:t>
      </w:r>
      <w:r>
        <w:rPr>
          <w:rFonts w:ascii="Arial" w:eastAsia="Times New Roman" w:hAnsi="Arial" w:cs="Arial"/>
          <w:sz w:val="20"/>
          <w:szCs w:val="20"/>
        </w:rPr>
        <w:t>;</w:t>
      </w:r>
      <w:r w:rsidR="00D77146">
        <w:rPr>
          <w:rFonts w:ascii="Arial" w:eastAsia="Times New Roman" w:hAnsi="Arial" w:cs="Arial"/>
          <w:sz w:val="20"/>
          <w:szCs w:val="20"/>
        </w:rPr>
        <w:t xml:space="preserve"> and</w:t>
      </w:r>
      <w:r w:rsidR="00241332">
        <w:rPr>
          <w:rFonts w:ascii="Arial" w:eastAsia="Times New Roman" w:hAnsi="Arial" w:cs="Arial"/>
          <w:sz w:val="20"/>
          <w:szCs w:val="20"/>
        </w:rPr>
        <w:t xml:space="preserve"> have the proper insurance.  Each driver shall maintain on his or her smartphone a digital information card with name and photograph of the driver, make and model of the vehicle, license plate number of the vehicle, and certificates of insurance.</w:t>
      </w:r>
    </w:p>
    <w:p w:rsidR="00337563" w:rsidRDefault="00337563" w:rsidP="009A04F0">
      <w:pPr>
        <w:spacing w:after="0" w:line="240" w:lineRule="auto"/>
        <w:jc w:val="both"/>
        <w:rPr>
          <w:rFonts w:ascii="Arial" w:eastAsia="Times New Roman" w:hAnsi="Arial" w:cs="Arial"/>
          <w:sz w:val="20"/>
          <w:szCs w:val="20"/>
        </w:rPr>
      </w:pPr>
    </w:p>
    <w:p w:rsidR="00337563" w:rsidRDefault="00DA366E" w:rsidP="009A04F0">
      <w:pPr>
        <w:spacing w:after="0" w:line="240" w:lineRule="auto"/>
        <w:jc w:val="both"/>
        <w:rPr>
          <w:rFonts w:ascii="Arial" w:eastAsia="Times New Roman" w:hAnsi="Arial" w:cs="Arial"/>
          <w:sz w:val="20"/>
          <w:szCs w:val="20"/>
          <w:u w:val="single"/>
        </w:rPr>
      </w:pPr>
      <w:r>
        <w:rPr>
          <w:rFonts w:ascii="Arial" w:eastAsia="Times New Roman" w:hAnsi="Arial" w:cs="Arial"/>
          <w:sz w:val="20"/>
          <w:szCs w:val="20"/>
          <w:u w:val="single"/>
        </w:rPr>
        <w:t>Prohibitions</w:t>
      </w:r>
    </w:p>
    <w:p w:rsidR="00DA366E" w:rsidRDefault="00DA366E" w:rsidP="009A04F0">
      <w:pPr>
        <w:spacing w:after="0" w:line="240" w:lineRule="auto"/>
        <w:jc w:val="both"/>
        <w:rPr>
          <w:rFonts w:ascii="Arial" w:eastAsia="Times New Roman" w:hAnsi="Arial" w:cs="Arial"/>
          <w:sz w:val="20"/>
          <w:szCs w:val="20"/>
        </w:rPr>
      </w:pPr>
      <w:r>
        <w:rPr>
          <w:rFonts w:ascii="Arial" w:eastAsia="Times New Roman" w:hAnsi="Arial" w:cs="Arial"/>
          <w:sz w:val="20"/>
          <w:szCs w:val="20"/>
        </w:rPr>
        <w:t>No TRS or TRSP shall refer passengers to limousine carriers that are not properly licensed or insured.  No RSNS shall refer passengers to ride share drivers who are not properly licensed or insured.  No TRS or TRSP shall refer passengers to taxi services that are not registered with the Department and are not properly licensed or insured.</w:t>
      </w:r>
    </w:p>
    <w:p w:rsidR="00DA366E" w:rsidRDefault="00DA366E" w:rsidP="009A04F0">
      <w:pPr>
        <w:spacing w:after="0" w:line="240" w:lineRule="auto"/>
        <w:jc w:val="both"/>
        <w:rPr>
          <w:rFonts w:ascii="Arial" w:eastAsia="Times New Roman" w:hAnsi="Arial" w:cs="Arial"/>
          <w:sz w:val="20"/>
          <w:szCs w:val="20"/>
        </w:rPr>
      </w:pPr>
    </w:p>
    <w:p w:rsidR="00DA366E" w:rsidRDefault="00DA366E" w:rsidP="009A04F0">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No limousine services shall accept referral if said service is not properly licensed.  No ride share drivers shall accept referrals without an appropriate driver’s license and either a for-hire endorsement or current private background check certification.  </w:t>
      </w:r>
    </w:p>
    <w:p w:rsidR="00DA366E" w:rsidRDefault="00DA366E" w:rsidP="009A04F0">
      <w:pPr>
        <w:spacing w:after="0" w:line="240" w:lineRule="auto"/>
        <w:jc w:val="both"/>
        <w:rPr>
          <w:rFonts w:ascii="Arial" w:eastAsia="Times New Roman" w:hAnsi="Arial" w:cs="Arial"/>
          <w:sz w:val="20"/>
          <w:szCs w:val="20"/>
        </w:rPr>
      </w:pPr>
    </w:p>
    <w:p w:rsidR="00DA366E" w:rsidRPr="00DA366E" w:rsidRDefault="00DA366E" w:rsidP="009A04F0">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Taxi services without the proper required licensing from local governments shall not accept referrals.  </w:t>
      </w:r>
    </w:p>
    <w:p w:rsidR="00241332" w:rsidRDefault="00241332" w:rsidP="009A04F0">
      <w:pPr>
        <w:spacing w:after="0" w:line="240" w:lineRule="auto"/>
        <w:jc w:val="both"/>
        <w:rPr>
          <w:rFonts w:ascii="Arial" w:eastAsia="Times New Roman" w:hAnsi="Arial" w:cs="Arial"/>
          <w:sz w:val="20"/>
          <w:szCs w:val="20"/>
        </w:rPr>
      </w:pPr>
    </w:p>
    <w:p w:rsidR="00241332" w:rsidRDefault="00ED4F00" w:rsidP="009A04F0">
      <w:pPr>
        <w:spacing w:after="0" w:line="240" w:lineRule="auto"/>
        <w:jc w:val="both"/>
        <w:rPr>
          <w:rFonts w:ascii="Arial" w:eastAsia="Times New Roman" w:hAnsi="Arial" w:cs="Arial"/>
          <w:sz w:val="20"/>
          <w:szCs w:val="20"/>
        </w:rPr>
      </w:pPr>
      <w:r>
        <w:rPr>
          <w:rFonts w:ascii="Arial" w:eastAsia="Times New Roman" w:hAnsi="Arial" w:cs="Arial"/>
          <w:sz w:val="20"/>
          <w:szCs w:val="20"/>
        </w:rPr>
        <w:t>A TRS in noncompliance will be guilty of a misdemeanor.  A TRSP or RSNS in noncompliance will be guilty of a misdemeanor and additionally shall be subject to have its registration suspended or revoked by the Department.  A person found to be</w:t>
      </w:r>
      <w:r w:rsidR="00324DD6">
        <w:rPr>
          <w:rFonts w:ascii="Arial" w:eastAsia="Times New Roman" w:hAnsi="Arial" w:cs="Arial"/>
          <w:sz w:val="20"/>
          <w:szCs w:val="20"/>
        </w:rPr>
        <w:t xml:space="preserve"> in</w:t>
      </w:r>
      <w:r>
        <w:rPr>
          <w:rFonts w:ascii="Arial" w:eastAsia="Times New Roman" w:hAnsi="Arial" w:cs="Arial"/>
          <w:sz w:val="20"/>
          <w:szCs w:val="20"/>
        </w:rPr>
        <w:t xml:space="preserve"> noncompliance shall be guilty of a misdemeanor and may be subject to a suspension for one year or revocation of such person’s driver’s license.  </w:t>
      </w:r>
    </w:p>
    <w:p w:rsidR="00ED4F00" w:rsidRDefault="00ED4F00" w:rsidP="009A04F0">
      <w:pPr>
        <w:spacing w:after="0" w:line="240" w:lineRule="auto"/>
        <w:jc w:val="both"/>
        <w:rPr>
          <w:rFonts w:ascii="Arial" w:eastAsia="Times New Roman" w:hAnsi="Arial" w:cs="Arial"/>
          <w:sz w:val="20"/>
          <w:szCs w:val="20"/>
        </w:rPr>
      </w:pPr>
    </w:p>
    <w:p w:rsidR="00ED4F00" w:rsidRDefault="00ED4F00" w:rsidP="009A04F0">
      <w:pPr>
        <w:spacing w:after="0" w:line="240" w:lineRule="auto"/>
        <w:jc w:val="both"/>
        <w:rPr>
          <w:rFonts w:ascii="Arial" w:eastAsia="Times New Roman" w:hAnsi="Arial" w:cs="Arial"/>
          <w:sz w:val="20"/>
          <w:szCs w:val="20"/>
          <w:u w:val="single"/>
        </w:rPr>
      </w:pPr>
      <w:r>
        <w:rPr>
          <w:rFonts w:ascii="Arial" w:eastAsia="Times New Roman" w:hAnsi="Arial" w:cs="Arial"/>
          <w:sz w:val="20"/>
          <w:szCs w:val="20"/>
          <w:u w:val="single"/>
        </w:rPr>
        <w:t>Advertising/Signage</w:t>
      </w:r>
    </w:p>
    <w:p w:rsidR="00ED4F00" w:rsidRDefault="00ED4F00" w:rsidP="009A04F0">
      <w:pPr>
        <w:spacing w:after="0" w:line="240" w:lineRule="auto"/>
        <w:jc w:val="both"/>
        <w:rPr>
          <w:rFonts w:ascii="Arial" w:eastAsia="Times New Roman" w:hAnsi="Arial" w:cs="Arial"/>
          <w:sz w:val="20"/>
          <w:szCs w:val="20"/>
        </w:rPr>
      </w:pPr>
      <w:r>
        <w:rPr>
          <w:rFonts w:ascii="Arial" w:eastAsia="Times New Roman" w:hAnsi="Arial" w:cs="Arial"/>
          <w:sz w:val="20"/>
          <w:szCs w:val="20"/>
        </w:rPr>
        <w:lastRenderedPageBreak/>
        <w:t>Any taxi service, TRS, TRSP, and RSNS must include its license number in any advertising in this state, except Internet advertisements.  Failure to provide such license number will result in a civil penalty not to exceed $5,000.00 for each violation.</w:t>
      </w:r>
    </w:p>
    <w:p w:rsidR="00ED4F00" w:rsidRDefault="00ED4F00" w:rsidP="009A04F0">
      <w:pPr>
        <w:spacing w:after="0" w:line="240" w:lineRule="auto"/>
        <w:jc w:val="both"/>
        <w:rPr>
          <w:rFonts w:ascii="Arial" w:eastAsia="Times New Roman" w:hAnsi="Arial" w:cs="Arial"/>
          <w:sz w:val="20"/>
          <w:szCs w:val="20"/>
        </w:rPr>
      </w:pPr>
    </w:p>
    <w:p w:rsidR="00ED4F00" w:rsidRDefault="00ED4F00" w:rsidP="009A04F0">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Ride share drivers must display signage on the driver’s vehicle while the ride share driver is active on the ride share network service’s digital network.  The signage must be: large enough to be readable during daylight hours from a distance of at least 50 feet; reflective, illuminated, or otherwise visible in darkness; and sufficient to identify a vehicle as being associated with the RSNS with which the ride share driver is affiliated.  </w:t>
      </w:r>
    </w:p>
    <w:p w:rsidR="00ED4F00" w:rsidRDefault="00ED4F00" w:rsidP="009A04F0">
      <w:pPr>
        <w:spacing w:after="0" w:line="240" w:lineRule="auto"/>
        <w:jc w:val="both"/>
        <w:rPr>
          <w:rFonts w:ascii="Arial" w:eastAsia="Times New Roman" w:hAnsi="Arial" w:cs="Arial"/>
          <w:sz w:val="20"/>
          <w:szCs w:val="20"/>
        </w:rPr>
      </w:pPr>
    </w:p>
    <w:p w:rsidR="00ED4F00" w:rsidRDefault="00ED4F00" w:rsidP="009A04F0">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Any person found in noncompliance shall be guilty of a misdemeanor.  </w:t>
      </w:r>
    </w:p>
    <w:p w:rsidR="00ED4F00" w:rsidRDefault="00ED4F00" w:rsidP="009A04F0">
      <w:pPr>
        <w:spacing w:after="0" w:line="240" w:lineRule="auto"/>
        <w:jc w:val="both"/>
        <w:rPr>
          <w:rFonts w:ascii="Arial" w:eastAsia="Times New Roman" w:hAnsi="Arial" w:cs="Arial"/>
          <w:sz w:val="20"/>
          <w:szCs w:val="20"/>
        </w:rPr>
      </w:pPr>
    </w:p>
    <w:p w:rsidR="00ED4F00" w:rsidRDefault="008812B4" w:rsidP="009A04F0">
      <w:pPr>
        <w:spacing w:after="0" w:line="240" w:lineRule="auto"/>
        <w:jc w:val="both"/>
        <w:rPr>
          <w:rFonts w:ascii="Arial" w:eastAsia="Times New Roman" w:hAnsi="Arial" w:cs="Arial"/>
          <w:sz w:val="20"/>
          <w:szCs w:val="20"/>
          <w:u w:val="single"/>
        </w:rPr>
      </w:pPr>
      <w:r>
        <w:rPr>
          <w:rFonts w:ascii="Arial" w:eastAsia="Times New Roman" w:hAnsi="Arial" w:cs="Arial"/>
          <w:sz w:val="20"/>
          <w:szCs w:val="20"/>
          <w:u w:val="single"/>
        </w:rPr>
        <w:t>Fares</w:t>
      </w:r>
    </w:p>
    <w:p w:rsidR="008812B4" w:rsidRDefault="002519E9" w:rsidP="009A04F0">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If a ride share driver contracted with a RSNS charges a fare, such fare shall be calculated based upon one or more of the following factors: distance, flat fee, base fee, waiting time, cancellation fee, stop fee, event pricing, demand pricing, or time.  </w:t>
      </w:r>
    </w:p>
    <w:p w:rsidR="002519E9" w:rsidRDefault="002519E9" w:rsidP="009A04F0">
      <w:pPr>
        <w:spacing w:after="0" w:line="240" w:lineRule="auto"/>
        <w:jc w:val="both"/>
        <w:rPr>
          <w:rFonts w:ascii="Arial" w:eastAsia="Times New Roman" w:hAnsi="Arial" w:cs="Arial"/>
          <w:sz w:val="20"/>
          <w:szCs w:val="20"/>
        </w:rPr>
      </w:pPr>
    </w:p>
    <w:p w:rsidR="002519E9" w:rsidRPr="002519E9" w:rsidRDefault="002519E9" w:rsidP="009A04F0">
      <w:pPr>
        <w:spacing w:after="0" w:line="240" w:lineRule="auto"/>
        <w:jc w:val="both"/>
        <w:rPr>
          <w:rFonts w:ascii="Arial" w:eastAsia="Times New Roman" w:hAnsi="Arial" w:cs="Arial"/>
          <w:sz w:val="20"/>
          <w:szCs w:val="20"/>
          <w:u w:val="single"/>
        </w:rPr>
      </w:pPr>
      <w:r w:rsidRPr="002519E9">
        <w:rPr>
          <w:rFonts w:ascii="Arial" w:eastAsia="Times New Roman" w:hAnsi="Arial" w:cs="Arial"/>
          <w:sz w:val="20"/>
          <w:szCs w:val="20"/>
          <w:u w:val="single"/>
        </w:rPr>
        <w:t>Master License Fees</w:t>
      </w:r>
    </w:p>
    <w:p w:rsidR="00573CA4" w:rsidRDefault="002519E9" w:rsidP="009A04F0">
      <w:pPr>
        <w:spacing w:after="0" w:line="240" w:lineRule="auto"/>
        <w:jc w:val="both"/>
        <w:rPr>
          <w:rFonts w:ascii="Arial" w:eastAsia="Times New Roman" w:hAnsi="Arial" w:cs="Arial"/>
          <w:sz w:val="20"/>
          <w:szCs w:val="20"/>
        </w:rPr>
      </w:pPr>
      <w:r>
        <w:rPr>
          <w:rFonts w:ascii="Arial" w:eastAsia="Times New Roman" w:hAnsi="Arial" w:cs="Arial"/>
          <w:sz w:val="20"/>
          <w:szCs w:val="20"/>
        </w:rPr>
        <w:t>On and after July 1, 2016, for-hire vehicles</w:t>
      </w:r>
      <w:r>
        <w:rPr>
          <w:rStyle w:val="FootnoteReference"/>
          <w:rFonts w:ascii="Arial" w:eastAsia="Times New Roman" w:hAnsi="Arial" w:cs="Arial"/>
          <w:sz w:val="20"/>
          <w:szCs w:val="20"/>
        </w:rPr>
        <w:footnoteReference w:id="5"/>
      </w:r>
      <w:r>
        <w:rPr>
          <w:rFonts w:ascii="Arial" w:eastAsia="Times New Roman" w:hAnsi="Arial" w:cs="Arial"/>
          <w:sz w:val="20"/>
          <w:szCs w:val="20"/>
        </w:rPr>
        <w:t xml:space="preserve"> must either obtain a master license from the Department or shall elect to continue to pay sales and use taxes on all fares collected.</w:t>
      </w:r>
    </w:p>
    <w:p w:rsidR="00324DD6" w:rsidRDefault="00324DD6" w:rsidP="009A04F0">
      <w:pPr>
        <w:spacing w:after="0" w:line="240" w:lineRule="auto"/>
        <w:jc w:val="both"/>
        <w:rPr>
          <w:rFonts w:ascii="Arial" w:eastAsia="Times New Roman" w:hAnsi="Arial" w:cs="Arial"/>
          <w:sz w:val="20"/>
          <w:szCs w:val="20"/>
        </w:rPr>
      </w:pPr>
    </w:p>
    <w:p w:rsidR="002519E9" w:rsidRDefault="002519E9" w:rsidP="009A04F0">
      <w:pPr>
        <w:spacing w:after="0" w:line="240" w:lineRule="auto"/>
        <w:jc w:val="both"/>
        <w:rPr>
          <w:rFonts w:ascii="Arial" w:eastAsia="Times New Roman" w:hAnsi="Arial" w:cs="Arial"/>
          <w:sz w:val="20"/>
          <w:szCs w:val="20"/>
        </w:rPr>
      </w:pPr>
      <w:r>
        <w:rPr>
          <w:rFonts w:ascii="Arial" w:eastAsia="Times New Roman" w:hAnsi="Arial" w:cs="Arial"/>
          <w:sz w:val="20"/>
          <w:szCs w:val="20"/>
        </w:rPr>
        <w:t>The annual fee for master license is as follows:</w:t>
      </w:r>
    </w:p>
    <w:p w:rsidR="002519E9" w:rsidRDefault="002519E9" w:rsidP="009A04F0">
      <w:pPr>
        <w:spacing w:after="0" w:line="240" w:lineRule="auto"/>
        <w:jc w:val="both"/>
        <w:rPr>
          <w:rFonts w:ascii="Arial" w:eastAsia="Times New Roman" w:hAnsi="Arial" w:cs="Arial"/>
          <w:sz w:val="20"/>
          <w:szCs w:val="20"/>
        </w:rPr>
      </w:pPr>
    </w:p>
    <w:p w:rsidR="002519E9" w:rsidRPr="002519E9" w:rsidRDefault="00120560" w:rsidP="009A04F0">
      <w:pPr>
        <w:spacing w:after="0" w:line="240" w:lineRule="auto"/>
        <w:jc w:val="both"/>
        <w:rPr>
          <w:rFonts w:ascii="Arial" w:eastAsia="Times New Roman" w:hAnsi="Arial" w:cs="Arial"/>
          <w:sz w:val="20"/>
          <w:szCs w:val="20"/>
        </w:rPr>
      </w:pPr>
      <w:r>
        <w:rPr>
          <w:rFonts w:ascii="Arial" w:eastAsia="Times New Roman" w:hAnsi="Arial" w:cs="Arial"/>
          <w:sz w:val="20"/>
          <w:szCs w:val="20"/>
        </w:rPr>
        <w:t>For 1 to 5 for-hire vehicles:</w:t>
      </w:r>
      <w:r w:rsidR="00324DD6">
        <w:rPr>
          <w:rFonts w:ascii="Arial" w:eastAsia="Times New Roman" w:hAnsi="Arial" w:cs="Arial"/>
          <w:sz w:val="20"/>
          <w:szCs w:val="20"/>
        </w:rPr>
        <w:tab/>
      </w:r>
      <w:r w:rsidR="002519E9" w:rsidRPr="002519E9">
        <w:rPr>
          <w:rFonts w:ascii="Arial" w:eastAsia="Times New Roman" w:hAnsi="Arial" w:cs="Arial"/>
          <w:sz w:val="20"/>
          <w:szCs w:val="20"/>
        </w:rPr>
        <w:t>$1,500.00</w:t>
      </w:r>
    </w:p>
    <w:p w:rsidR="002519E9" w:rsidRPr="002519E9" w:rsidRDefault="002519E9" w:rsidP="009A04F0">
      <w:pPr>
        <w:spacing w:after="0" w:line="240" w:lineRule="auto"/>
        <w:jc w:val="both"/>
        <w:rPr>
          <w:rFonts w:ascii="Arial" w:eastAsia="Times New Roman" w:hAnsi="Arial" w:cs="Arial"/>
          <w:sz w:val="20"/>
          <w:szCs w:val="20"/>
        </w:rPr>
      </w:pPr>
      <w:r w:rsidRPr="002519E9">
        <w:rPr>
          <w:rFonts w:ascii="Arial" w:eastAsia="Times New Roman" w:hAnsi="Arial" w:cs="Arial"/>
          <w:sz w:val="20"/>
          <w:szCs w:val="20"/>
        </w:rPr>
        <w:t>For 6 to 59 for-hire vehicles</w:t>
      </w:r>
      <w:r w:rsidR="00120560">
        <w:rPr>
          <w:rFonts w:ascii="Arial" w:eastAsia="Times New Roman" w:hAnsi="Arial" w:cs="Arial"/>
          <w:sz w:val="20"/>
          <w:szCs w:val="20"/>
        </w:rPr>
        <w:t>:</w:t>
      </w:r>
      <w:r w:rsidR="00324DD6">
        <w:rPr>
          <w:rFonts w:ascii="Arial" w:eastAsia="Times New Roman" w:hAnsi="Arial" w:cs="Arial"/>
          <w:sz w:val="20"/>
          <w:szCs w:val="20"/>
        </w:rPr>
        <w:tab/>
      </w:r>
      <w:r w:rsidR="00120560">
        <w:rPr>
          <w:rFonts w:ascii="Arial" w:eastAsia="Times New Roman" w:hAnsi="Arial" w:cs="Arial"/>
          <w:sz w:val="20"/>
          <w:szCs w:val="20"/>
        </w:rPr>
        <w:t>$</w:t>
      </w:r>
      <w:r w:rsidRPr="002519E9">
        <w:rPr>
          <w:rFonts w:ascii="Arial" w:eastAsia="Times New Roman" w:hAnsi="Arial" w:cs="Arial"/>
          <w:sz w:val="20"/>
          <w:szCs w:val="20"/>
        </w:rPr>
        <w:t>12,050.00</w:t>
      </w:r>
    </w:p>
    <w:p w:rsidR="002519E9" w:rsidRPr="002519E9" w:rsidRDefault="002519E9" w:rsidP="009A04F0">
      <w:pPr>
        <w:spacing w:after="0" w:line="240" w:lineRule="auto"/>
        <w:jc w:val="both"/>
        <w:rPr>
          <w:rFonts w:ascii="Arial" w:eastAsia="Times New Roman" w:hAnsi="Arial" w:cs="Arial"/>
          <w:sz w:val="20"/>
          <w:szCs w:val="20"/>
        </w:rPr>
      </w:pPr>
      <w:r w:rsidRPr="002519E9">
        <w:rPr>
          <w:rFonts w:ascii="Arial" w:eastAsia="Times New Roman" w:hAnsi="Arial" w:cs="Arial"/>
          <w:sz w:val="20"/>
          <w:szCs w:val="20"/>
        </w:rPr>
        <w:t>For 60 to 100 for-hire vehicles</w:t>
      </w:r>
      <w:r w:rsidR="00120560">
        <w:rPr>
          <w:rFonts w:ascii="Arial" w:eastAsia="Times New Roman" w:hAnsi="Arial" w:cs="Arial"/>
          <w:sz w:val="20"/>
          <w:szCs w:val="20"/>
        </w:rPr>
        <w:t>:</w:t>
      </w:r>
      <w:r w:rsidR="00324DD6">
        <w:rPr>
          <w:rFonts w:ascii="Arial" w:eastAsia="Times New Roman" w:hAnsi="Arial" w:cs="Arial"/>
          <w:sz w:val="20"/>
          <w:szCs w:val="20"/>
        </w:rPr>
        <w:tab/>
      </w:r>
      <w:r w:rsidR="00120560">
        <w:rPr>
          <w:rFonts w:ascii="Arial" w:eastAsia="Times New Roman" w:hAnsi="Arial" w:cs="Arial"/>
          <w:sz w:val="20"/>
          <w:szCs w:val="20"/>
        </w:rPr>
        <w:t>$</w:t>
      </w:r>
      <w:r w:rsidRPr="002519E9">
        <w:rPr>
          <w:rFonts w:ascii="Arial" w:eastAsia="Times New Roman" w:hAnsi="Arial" w:cs="Arial"/>
          <w:sz w:val="20"/>
          <w:szCs w:val="20"/>
        </w:rPr>
        <w:t>25,000.00</w:t>
      </w:r>
    </w:p>
    <w:p w:rsidR="002519E9" w:rsidRPr="002519E9" w:rsidRDefault="002519E9" w:rsidP="009A04F0">
      <w:pPr>
        <w:spacing w:after="0" w:line="240" w:lineRule="auto"/>
        <w:jc w:val="both"/>
        <w:rPr>
          <w:rFonts w:ascii="Arial" w:eastAsia="Times New Roman" w:hAnsi="Arial" w:cs="Arial"/>
          <w:sz w:val="20"/>
          <w:szCs w:val="20"/>
        </w:rPr>
      </w:pPr>
      <w:r w:rsidRPr="002519E9">
        <w:rPr>
          <w:rFonts w:ascii="Arial" w:eastAsia="Times New Roman" w:hAnsi="Arial" w:cs="Arial"/>
          <w:sz w:val="20"/>
          <w:szCs w:val="20"/>
        </w:rPr>
        <w:t>F</w:t>
      </w:r>
      <w:r w:rsidR="00120560">
        <w:rPr>
          <w:rFonts w:ascii="Arial" w:eastAsia="Times New Roman" w:hAnsi="Arial" w:cs="Arial"/>
          <w:sz w:val="20"/>
          <w:szCs w:val="20"/>
        </w:rPr>
        <w:t>or 101 to 150 for-hire vehicles</w:t>
      </w:r>
      <w:r w:rsidR="00324DD6">
        <w:rPr>
          <w:rFonts w:ascii="Arial" w:eastAsia="Times New Roman" w:hAnsi="Arial" w:cs="Arial"/>
          <w:sz w:val="20"/>
          <w:szCs w:val="20"/>
        </w:rPr>
        <w:t>:</w:t>
      </w:r>
      <w:r w:rsidR="00324DD6">
        <w:rPr>
          <w:rFonts w:ascii="Arial" w:eastAsia="Times New Roman" w:hAnsi="Arial" w:cs="Arial"/>
          <w:sz w:val="20"/>
          <w:szCs w:val="20"/>
        </w:rPr>
        <w:tab/>
      </w:r>
      <w:r w:rsidR="00120560">
        <w:rPr>
          <w:rFonts w:ascii="Arial" w:eastAsia="Times New Roman" w:hAnsi="Arial" w:cs="Arial"/>
          <w:sz w:val="20"/>
          <w:szCs w:val="20"/>
        </w:rPr>
        <w:t>$</w:t>
      </w:r>
      <w:r w:rsidRPr="002519E9">
        <w:rPr>
          <w:rFonts w:ascii="Arial" w:eastAsia="Times New Roman" w:hAnsi="Arial" w:cs="Arial"/>
          <w:sz w:val="20"/>
          <w:szCs w:val="20"/>
        </w:rPr>
        <w:t>40,000.00</w:t>
      </w:r>
    </w:p>
    <w:p w:rsidR="002519E9" w:rsidRPr="002519E9" w:rsidRDefault="002519E9" w:rsidP="009A04F0">
      <w:pPr>
        <w:spacing w:after="0" w:line="240" w:lineRule="auto"/>
        <w:jc w:val="both"/>
        <w:rPr>
          <w:rFonts w:ascii="Arial" w:eastAsia="Times New Roman" w:hAnsi="Arial" w:cs="Arial"/>
          <w:sz w:val="20"/>
          <w:szCs w:val="20"/>
        </w:rPr>
      </w:pPr>
      <w:r w:rsidRPr="002519E9">
        <w:rPr>
          <w:rFonts w:ascii="Arial" w:eastAsia="Times New Roman" w:hAnsi="Arial" w:cs="Arial"/>
          <w:sz w:val="20"/>
          <w:szCs w:val="20"/>
        </w:rPr>
        <w:t>For 151 to 200 for-hire vehicles</w:t>
      </w:r>
      <w:r w:rsidR="00324DD6">
        <w:rPr>
          <w:rFonts w:ascii="Arial" w:eastAsia="Times New Roman" w:hAnsi="Arial" w:cs="Arial"/>
          <w:sz w:val="20"/>
          <w:szCs w:val="20"/>
        </w:rPr>
        <w:t>:</w:t>
      </w:r>
      <w:r w:rsidR="00324DD6">
        <w:rPr>
          <w:rFonts w:ascii="Arial" w:eastAsia="Times New Roman" w:hAnsi="Arial" w:cs="Arial"/>
          <w:sz w:val="20"/>
          <w:szCs w:val="20"/>
        </w:rPr>
        <w:tab/>
      </w:r>
      <w:r>
        <w:rPr>
          <w:rFonts w:ascii="Arial" w:eastAsia="Times New Roman" w:hAnsi="Arial" w:cs="Arial"/>
          <w:sz w:val="20"/>
          <w:szCs w:val="20"/>
        </w:rPr>
        <w:t>$</w:t>
      </w:r>
      <w:r w:rsidRPr="002519E9">
        <w:rPr>
          <w:rFonts w:ascii="Arial" w:eastAsia="Times New Roman" w:hAnsi="Arial" w:cs="Arial"/>
          <w:sz w:val="20"/>
          <w:szCs w:val="20"/>
        </w:rPr>
        <w:t>56,000.00</w:t>
      </w:r>
    </w:p>
    <w:p w:rsidR="002519E9" w:rsidRPr="002519E9" w:rsidRDefault="002519E9" w:rsidP="009A04F0">
      <w:pPr>
        <w:spacing w:after="0" w:line="240" w:lineRule="auto"/>
        <w:jc w:val="both"/>
        <w:rPr>
          <w:rFonts w:ascii="Arial" w:eastAsia="Times New Roman" w:hAnsi="Arial" w:cs="Arial"/>
          <w:sz w:val="20"/>
          <w:szCs w:val="20"/>
        </w:rPr>
      </w:pPr>
      <w:r w:rsidRPr="002519E9">
        <w:rPr>
          <w:rFonts w:ascii="Arial" w:eastAsia="Times New Roman" w:hAnsi="Arial" w:cs="Arial"/>
          <w:sz w:val="20"/>
          <w:szCs w:val="20"/>
        </w:rPr>
        <w:t>For 201 to 250 for-hire vehicles</w:t>
      </w:r>
      <w:r>
        <w:rPr>
          <w:rFonts w:ascii="Arial" w:eastAsia="Times New Roman" w:hAnsi="Arial" w:cs="Arial"/>
          <w:sz w:val="20"/>
          <w:szCs w:val="20"/>
        </w:rPr>
        <w:t>:</w:t>
      </w:r>
      <w:r w:rsidR="00324DD6">
        <w:rPr>
          <w:rFonts w:ascii="Arial" w:eastAsia="Times New Roman" w:hAnsi="Arial" w:cs="Arial"/>
          <w:sz w:val="20"/>
          <w:szCs w:val="20"/>
        </w:rPr>
        <w:tab/>
      </w:r>
      <w:r>
        <w:rPr>
          <w:rFonts w:ascii="Arial" w:eastAsia="Times New Roman" w:hAnsi="Arial" w:cs="Arial"/>
          <w:sz w:val="20"/>
          <w:szCs w:val="20"/>
        </w:rPr>
        <w:t>$</w:t>
      </w:r>
      <w:r w:rsidRPr="002519E9">
        <w:rPr>
          <w:rFonts w:ascii="Arial" w:eastAsia="Times New Roman" w:hAnsi="Arial" w:cs="Arial"/>
          <w:sz w:val="20"/>
          <w:szCs w:val="20"/>
        </w:rPr>
        <w:t>75,000.00</w:t>
      </w:r>
    </w:p>
    <w:p w:rsidR="002519E9" w:rsidRPr="002519E9" w:rsidRDefault="002519E9" w:rsidP="009A04F0">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For 251 </w:t>
      </w:r>
      <w:r w:rsidRPr="002519E9">
        <w:rPr>
          <w:rFonts w:ascii="Arial" w:eastAsia="Times New Roman" w:hAnsi="Arial" w:cs="Arial"/>
          <w:sz w:val="20"/>
          <w:szCs w:val="20"/>
        </w:rPr>
        <w:t>to 300 for-hire vehicles</w:t>
      </w:r>
      <w:r>
        <w:rPr>
          <w:rFonts w:ascii="Arial" w:eastAsia="Times New Roman" w:hAnsi="Arial" w:cs="Arial"/>
          <w:sz w:val="20"/>
          <w:szCs w:val="20"/>
        </w:rPr>
        <w:t>:</w:t>
      </w:r>
      <w:r w:rsidR="00324DD6">
        <w:rPr>
          <w:rFonts w:ascii="Arial" w:eastAsia="Times New Roman" w:hAnsi="Arial" w:cs="Arial"/>
          <w:sz w:val="20"/>
          <w:szCs w:val="20"/>
        </w:rPr>
        <w:tab/>
      </w:r>
      <w:r>
        <w:rPr>
          <w:rFonts w:ascii="Arial" w:eastAsia="Times New Roman" w:hAnsi="Arial" w:cs="Arial"/>
          <w:sz w:val="20"/>
          <w:szCs w:val="20"/>
        </w:rPr>
        <w:t>$</w:t>
      </w:r>
      <w:r w:rsidRPr="002519E9">
        <w:rPr>
          <w:rFonts w:ascii="Arial" w:eastAsia="Times New Roman" w:hAnsi="Arial" w:cs="Arial"/>
          <w:sz w:val="20"/>
          <w:szCs w:val="20"/>
        </w:rPr>
        <w:t>90,000.00</w:t>
      </w:r>
    </w:p>
    <w:p w:rsidR="002519E9" w:rsidRPr="002519E9" w:rsidRDefault="002519E9" w:rsidP="009A04F0">
      <w:pPr>
        <w:spacing w:after="0" w:line="240" w:lineRule="auto"/>
        <w:jc w:val="both"/>
        <w:rPr>
          <w:rFonts w:ascii="Arial" w:eastAsia="Times New Roman" w:hAnsi="Arial" w:cs="Arial"/>
          <w:sz w:val="20"/>
          <w:szCs w:val="20"/>
        </w:rPr>
      </w:pPr>
      <w:r w:rsidRPr="002519E9">
        <w:rPr>
          <w:rFonts w:ascii="Arial" w:eastAsia="Times New Roman" w:hAnsi="Arial" w:cs="Arial"/>
          <w:sz w:val="20"/>
          <w:szCs w:val="20"/>
        </w:rPr>
        <w:t>For 301 to 350 for-hire vehicles</w:t>
      </w:r>
      <w:r>
        <w:rPr>
          <w:rFonts w:ascii="Arial" w:eastAsia="Times New Roman" w:hAnsi="Arial" w:cs="Arial"/>
          <w:sz w:val="20"/>
          <w:szCs w:val="20"/>
        </w:rPr>
        <w:t>:</w:t>
      </w:r>
      <w:r w:rsidR="00324DD6">
        <w:rPr>
          <w:rFonts w:ascii="Arial" w:eastAsia="Times New Roman" w:hAnsi="Arial" w:cs="Arial"/>
          <w:sz w:val="20"/>
          <w:szCs w:val="20"/>
        </w:rPr>
        <w:tab/>
      </w:r>
      <w:r>
        <w:rPr>
          <w:rFonts w:ascii="Arial" w:eastAsia="Times New Roman" w:hAnsi="Arial" w:cs="Arial"/>
          <w:sz w:val="20"/>
          <w:szCs w:val="20"/>
        </w:rPr>
        <w:t>$</w:t>
      </w:r>
      <w:r w:rsidRPr="002519E9">
        <w:rPr>
          <w:rFonts w:ascii="Arial" w:eastAsia="Times New Roman" w:hAnsi="Arial" w:cs="Arial"/>
          <w:sz w:val="20"/>
          <w:szCs w:val="20"/>
        </w:rPr>
        <w:t>105,000.00</w:t>
      </w:r>
    </w:p>
    <w:p w:rsidR="002519E9" w:rsidRPr="002519E9" w:rsidRDefault="002519E9" w:rsidP="009A04F0">
      <w:pPr>
        <w:spacing w:after="0" w:line="240" w:lineRule="auto"/>
        <w:jc w:val="both"/>
        <w:rPr>
          <w:rFonts w:ascii="Arial" w:eastAsia="Times New Roman" w:hAnsi="Arial" w:cs="Arial"/>
          <w:sz w:val="20"/>
          <w:szCs w:val="20"/>
        </w:rPr>
      </w:pPr>
      <w:r w:rsidRPr="002519E9">
        <w:rPr>
          <w:rFonts w:ascii="Arial" w:eastAsia="Times New Roman" w:hAnsi="Arial" w:cs="Arial"/>
          <w:sz w:val="20"/>
          <w:szCs w:val="20"/>
        </w:rPr>
        <w:t>For 351 to 500 for-hire vehicles</w:t>
      </w:r>
      <w:r w:rsidR="00120560">
        <w:rPr>
          <w:rFonts w:ascii="Arial" w:eastAsia="Times New Roman" w:hAnsi="Arial" w:cs="Arial"/>
          <w:sz w:val="20"/>
          <w:szCs w:val="20"/>
        </w:rPr>
        <w:t>:</w:t>
      </w:r>
      <w:r w:rsidR="00324DD6">
        <w:rPr>
          <w:rFonts w:ascii="Arial" w:eastAsia="Times New Roman" w:hAnsi="Arial" w:cs="Arial"/>
          <w:sz w:val="20"/>
          <w:szCs w:val="20"/>
        </w:rPr>
        <w:tab/>
      </w:r>
      <w:r w:rsidR="00120560">
        <w:rPr>
          <w:rFonts w:ascii="Arial" w:eastAsia="Times New Roman" w:hAnsi="Arial" w:cs="Arial"/>
          <w:sz w:val="20"/>
          <w:szCs w:val="20"/>
        </w:rPr>
        <w:t>$</w:t>
      </w:r>
      <w:r w:rsidRPr="002519E9">
        <w:rPr>
          <w:rFonts w:ascii="Arial" w:eastAsia="Times New Roman" w:hAnsi="Arial" w:cs="Arial"/>
          <w:sz w:val="20"/>
          <w:szCs w:val="20"/>
        </w:rPr>
        <w:t>150,000.00</w:t>
      </w:r>
    </w:p>
    <w:p w:rsidR="002519E9" w:rsidRPr="002519E9" w:rsidRDefault="002519E9" w:rsidP="009A04F0">
      <w:pPr>
        <w:spacing w:after="0" w:line="240" w:lineRule="auto"/>
        <w:jc w:val="both"/>
        <w:rPr>
          <w:rFonts w:ascii="Arial" w:eastAsia="Times New Roman" w:hAnsi="Arial" w:cs="Arial"/>
          <w:sz w:val="20"/>
          <w:szCs w:val="20"/>
        </w:rPr>
      </w:pPr>
      <w:r w:rsidRPr="002519E9">
        <w:rPr>
          <w:rFonts w:ascii="Arial" w:eastAsia="Times New Roman" w:hAnsi="Arial" w:cs="Arial"/>
          <w:sz w:val="20"/>
          <w:szCs w:val="20"/>
        </w:rPr>
        <w:t>For 501 to 1,000 for-hire vehicles</w:t>
      </w:r>
      <w:r w:rsidR="00120560">
        <w:rPr>
          <w:rFonts w:ascii="Arial" w:eastAsia="Times New Roman" w:hAnsi="Arial" w:cs="Arial"/>
          <w:sz w:val="20"/>
          <w:szCs w:val="20"/>
        </w:rPr>
        <w:t>:</w:t>
      </w:r>
      <w:r w:rsidR="00324DD6">
        <w:rPr>
          <w:rFonts w:ascii="Arial" w:eastAsia="Times New Roman" w:hAnsi="Arial" w:cs="Arial"/>
          <w:sz w:val="20"/>
          <w:szCs w:val="20"/>
        </w:rPr>
        <w:t xml:space="preserve"> </w:t>
      </w:r>
      <w:r w:rsidR="00120560">
        <w:rPr>
          <w:rFonts w:ascii="Arial" w:eastAsia="Times New Roman" w:hAnsi="Arial" w:cs="Arial"/>
          <w:sz w:val="20"/>
          <w:szCs w:val="20"/>
        </w:rPr>
        <w:t>$</w:t>
      </w:r>
      <w:r w:rsidRPr="002519E9">
        <w:rPr>
          <w:rFonts w:ascii="Arial" w:eastAsia="Times New Roman" w:hAnsi="Arial" w:cs="Arial"/>
          <w:sz w:val="20"/>
          <w:szCs w:val="20"/>
        </w:rPr>
        <w:t>300,000.00</w:t>
      </w:r>
    </w:p>
    <w:p w:rsidR="002519E9" w:rsidRPr="002519E9" w:rsidRDefault="002519E9" w:rsidP="009A04F0">
      <w:pPr>
        <w:spacing w:after="0" w:line="240" w:lineRule="auto"/>
        <w:jc w:val="both"/>
        <w:rPr>
          <w:rFonts w:ascii="Arial" w:eastAsia="Times New Roman" w:hAnsi="Arial" w:cs="Arial"/>
          <w:sz w:val="20"/>
          <w:szCs w:val="20"/>
        </w:rPr>
      </w:pPr>
      <w:r w:rsidRPr="002519E9">
        <w:rPr>
          <w:rFonts w:ascii="Arial" w:eastAsia="Times New Roman" w:hAnsi="Arial" w:cs="Arial"/>
          <w:sz w:val="20"/>
          <w:szCs w:val="20"/>
        </w:rPr>
        <w:t>For 1,001 and greater for-hire vehicles</w:t>
      </w:r>
      <w:r w:rsidR="00324DD6">
        <w:rPr>
          <w:rFonts w:ascii="Arial" w:eastAsia="Times New Roman" w:hAnsi="Arial" w:cs="Arial"/>
          <w:sz w:val="20"/>
          <w:szCs w:val="20"/>
        </w:rPr>
        <w:t xml:space="preserve">: </w:t>
      </w:r>
      <w:r w:rsidR="00120560">
        <w:rPr>
          <w:rFonts w:ascii="Arial" w:eastAsia="Times New Roman" w:hAnsi="Arial" w:cs="Arial"/>
          <w:sz w:val="20"/>
          <w:szCs w:val="20"/>
        </w:rPr>
        <w:t>$</w:t>
      </w:r>
      <w:r w:rsidRPr="002519E9">
        <w:rPr>
          <w:rFonts w:ascii="Arial" w:eastAsia="Times New Roman" w:hAnsi="Arial" w:cs="Arial"/>
          <w:sz w:val="20"/>
          <w:szCs w:val="20"/>
        </w:rPr>
        <w:t>300,000.00</w:t>
      </w:r>
    </w:p>
    <w:p w:rsidR="002519E9" w:rsidRDefault="00120560" w:rsidP="009A04F0">
      <w:pPr>
        <w:spacing w:after="0" w:line="240" w:lineRule="auto"/>
        <w:jc w:val="both"/>
        <w:rPr>
          <w:rFonts w:ascii="Arial" w:eastAsia="Times New Roman" w:hAnsi="Arial" w:cs="Arial"/>
          <w:sz w:val="20"/>
          <w:szCs w:val="20"/>
        </w:rPr>
      </w:pPr>
      <w:proofErr w:type="gramStart"/>
      <w:r>
        <w:rPr>
          <w:rFonts w:ascii="Arial" w:eastAsia="Times New Roman" w:hAnsi="Arial" w:cs="Arial"/>
          <w:sz w:val="20"/>
          <w:szCs w:val="20"/>
        </w:rPr>
        <w:t>P</w:t>
      </w:r>
      <w:r w:rsidR="002519E9">
        <w:rPr>
          <w:rFonts w:ascii="Arial" w:eastAsia="Times New Roman" w:hAnsi="Arial" w:cs="Arial"/>
          <w:sz w:val="20"/>
          <w:szCs w:val="20"/>
        </w:rPr>
        <w:t xml:space="preserve">lus $25,000.00 for each additional 100 vehicles or </w:t>
      </w:r>
      <w:r w:rsidR="002519E9" w:rsidRPr="002519E9">
        <w:rPr>
          <w:rFonts w:ascii="Arial" w:eastAsia="Times New Roman" w:hAnsi="Arial" w:cs="Arial"/>
          <w:sz w:val="20"/>
          <w:szCs w:val="20"/>
        </w:rPr>
        <w:t>fraction thereof.</w:t>
      </w:r>
      <w:proofErr w:type="gramEnd"/>
    </w:p>
    <w:p w:rsidR="00120560" w:rsidRDefault="00120560" w:rsidP="009A04F0">
      <w:pPr>
        <w:spacing w:after="0" w:line="240" w:lineRule="auto"/>
        <w:jc w:val="both"/>
        <w:rPr>
          <w:rFonts w:ascii="Arial" w:eastAsia="Times New Roman" w:hAnsi="Arial" w:cs="Arial"/>
          <w:sz w:val="20"/>
          <w:szCs w:val="20"/>
        </w:rPr>
      </w:pPr>
    </w:p>
    <w:p w:rsidR="00120560" w:rsidRDefault="00120560" w:rsidP="009A04F0">
      <w:pPr>
        <w:spacing w:after="0" w:line="240" w:lineRule="auto"/>
        <w:jc w:val="both"/>
        <w:rPr>
          <w:rFonts w:ascii="Arial" w:eastAsia="Times New Roman" w:hAnsi="Arial" w:cs="Arial"/>
          <w:sz w:val="20"/>
          <w:szCs w:val="20"/>
        </w:rPr>
      </w:pPr>
      <w:r>
        <w:rPr>
          <w:rFonts w:ascii="Arial" w:eastAsia="Times New Roman" w:hAnsi="Arial" w:cs="Arial"/>
          <w:sz w:val="20"/>
          <w:szCs w:val="20"/>
        </w:rPr>
        <w:t>Of this fee, 57 percent will be deposited in</w:t>
      </w:r>
      <w:r w:rsidR="009A04F0">
        <w:rPr>
          <w:rFonts w:ascii="Arial" w:eastAsia="Times New Roman" w:hAnsi="Arial" w:cs="Arial"/>
          <w:sz w:val="20"/>
          <w:szCs w:val="20"/>
        </w:rPr>
        <w:t>to</w:t>
      </w:r>
      <w:r>
        <w:rPr>
          <w:rFonts w:ascii="Arial" w:eastAsia="Times New Roman" w:hAnsi="Arial" w:cs="Arial"/>
          <w:sz w:val="20"/>
          <w:szCs w:val="20"/>
        </w:rPr>
        <w:t xml:space="preserve"> the state general fund, while 43 percent will forwarded to the county tag agent to distribute to the county and city governing authorities, the board of education of the county school system, and the board of education of any independent school system.</w:t>
      </w:r>
    </w:p>
    <w:p w:rsidR="00120560" w:rsidRDefault="00120560" w:rsidP="009A04F0">
      <w:pPr>
        <w:spacing w:after="0" w:line="240" w:lineRule="auto"/>
        <w:jc w:val="both"/>
        <w:rPr>
          <w:rFonts w:ascii="Arial" w:eastAsia="Times New Roman" w:hAnsi="Arial" w:cs="Arial"/>
          <w:sz w:val="20"/>
          <w:szCs w:val="20"/>
        </w:rPr>
      </w:pPr>
    </w:p>
    <w:p w:rsidR="00120560" w:rsidRDefault="00120560" w:rsidP="009A04F0">
      <w:pPr>
        <w:spacing w:after="0" w:line="240" w:lineRule="auto"/>
        <w:jc w:val="both"/>
        <w:rPr>
          <w:rFonts w:ascii="Arial" w:eastAsia="Times New Roman" w:hAnsi="Arial" w:cs="Arial"/>
          <w:sz w:val="20"/>
          <w:szCs w:val="20"/>
          <w:u w:val="single"/>
        </w:rPr>
      </w:pPr>
      <w:r>
        <w:rPr>
          <w:rFonts w:ascii="Arial" w:eastAsia="Times New Roman" w:hAnsi="Arial" w:cs="Arial"/>
          <w:sz w:val="20"/>
          <w:szCs w:val="20"/>
          <w:u w:val="single"/>
        </w:rPr>
        <w:t>Background Checks</w:t>
      </w:r>
    </w:p>
    <w:p w:rsidR="009D4A71" w:rsidRPr="00120560" w:rsidRDefault="00120560" w:rsidP="009A04F0">
      <w:pPr>
        <w:spacing w:after="0" w:line="240" w:lineRule="auto"/>
        <w:jc w:val="both"/>
        <w:rPr>
          <w:rFonts w:ascii="Arial" w:eastAsia="Times New Roman" w:hAnsi="Arial" w:cs="Arial"/>
          <w:sz w:val="20"/>
          <w:szCs w:val="20"/>
        </w:rPr>
      </w:pPr>
      <w:r>
        <w:rPr>
          <w:rFonts w:ascii="Arial" w:eastAsia="Times New Roman" w:hAnsi="Arial" w:cs="Arial"/>
          <w:sz w:val="20"/>
          <w:szCs w:val="20"/>
        </w:rPr>
        <w:t>No ride share driver shall operate a vehicle unless such person has a for-hire license endorsement</w:t>
      </w:r>
      <w:r>
        <w:rPr>
          <w:rStyle w:val="FootnoteReference"/>
          <w:rFonts w:ascii="Arial" w:eastAsia="Times New Roman" w:hAnsi="Arial" w:cs="Arial"/>
          <w:sz w:val="20"/>
          <w:szCs w:val="20"/>
        </w:rPr>
        <w:footnoteReference w:id="6"/>
      </w:r>
      <w:r>
        <w:rPr>
          <w:rFonts w:ascii="Arial" w:eastAsia="Times New Roman" w:hAnsi="Arial" w:cs="Arial"/>
          <w:sz w:val="20"/>
          <w:szCs w:val="20"/>
        </w:rPr>
        <w:t xml:space="preserve"> and the required liability insurance, or</w:t>
      </w:r>
      <w:r w:rsidR="009D4A71">
        <w:rPr>
          <w:rFonts w:ascii="Arial" w:eastAsia="Times New Roman" w:hAnsi="Arial" w:cs="Arial"/>
          <w:sz w:val="20"/>
          <w:szCs w:val="20"/>
        </w:rPr>
        <w:t xml:space="preserve"> has</w:t>
      </w:r>
      <w:r>
        <w:rPr>
          <w:rFonts w:ascii="Arial" w:eastAsia="Times New Roman" w:hAnsi="Arial" w:cs="Arial"/>
          <w:sz w:val="20"/>
          <w:szCs w:val="20"/>
        </w:rPr>
        <w:t xml:space="preserve"> a private background check</w:t>
      </w:r>
      <w:r w:rsidR="009D4A71">
        <w:rPr>
          <w:rFonts w:ascii="Arial" w:eastAsia="Times New Roman" w:hAnsi="Arial" w:cs="Arial"/>
          <w:sz w:val="20"/>
          <w:szCs w:val="20"/>
        </w:rPr>
        <w:t xml:space="preserve"> and the required liability insurance.  Such background check shall be conducted by the ride share network that employs the driver.  The private background </w:t>
      </w:r>
      <w:r w:rsidR="00654B38">
        <w:rPr>
          <w:rFonts w:ascii="Arial" w:eastAsia="Times New Roman" w:hAnsi="Arial" w:cs="Arial"/>
          <w:sz w:val="20"/>
          <w:szCs w:val="20"/>
        </w:rPr>
        <w:t xml:space="preserve">certification shall be valid for a period of five years.  </w:t>
      </w:r>
    </w:p>
    <w:p w:rsidR="00573CA4" w:rsidRPr="00573CA4" w:rsidRDefault="00573CA4" w:rsidP="009A04F0">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w:t>
      </w:r>
    </w:p>
    <w:p w:rsidR="009623D0" w:rsidRPr="009623D0" w:rsidRDefault="00573CA4" w:rsidP="009A04F0">
      <w:pPr>
        <w:tabs>
          <w:tab w:val="left" w:pos="5715"/>
        </w:tabs>
        <w:spacing w:after="0" w:line="240" w:lineRule="auto"/>
        <w:jc w:val="both"/>
        <w:rPr>
          <w:rFonts w:ascii="Arial" w:eastAsia="Times New Roman" w:hAnsi="Arial" w:cs="Arial"/>
          <w:sz w:val="20"/>
          <w:szCs w:val="20"/>
        </w:rPr>
      </w:pPr>
      <w:r>
        <w:rPr>
          <w:rFonts w:ascii="Arial" w:eastAsia="Times New Roman" w:hAnsi="Arial" w:cs="Arial"/>
          <w:sz w:val="20"/>
          <w:szCs w:val="20"/>
        </w:rPr>
        <w:tab/>
      </w:r>
    </w:p>
    <w:p w:rsidR="009623D0" w:rsidRPr="009623D0" w:rsidRDefault="009623D0" w:rsidP="009A04F0">
      <w:pPr>
        <w:spacing w:after="0" w:line="240" w:lineRule="auto"/>
        <w:jc w:val="both"/>
        <w:rPr>
          <w:rFonts w:ascii="Arial" w:eastAsia="Times New Roman" w:hAnsi="Arial" w:cs="Arial"/>
          <w:b/>
          <w:sz w:val="20"/>
          <w:szCs w:val="20"/>
        </w:rPr>
      </w:pPr>
      <w:r w:rsidRPr="009623D0">
        <w:rPr>
          <w:rFonts w:ascii="Arial" w:eastAsia="Times New Roman" w:hAnsi="Arial" w:cs="Arial"/>
          <w:b/>
          <w:sz w:val="20"/>
          <w:szCs w:val="20"/>
        </w:rPr>
        <w:t xml:space="preserve">House Committee: </w:t>
      </w:r>
      <w:r w:rsidR="00454928">
        <w:rPr>
          <w:rFonts w:ascii="Arial" w:eastAsia="Times New Roman" w:hAnsi="Arial" w:cs="Arial"/>
          <w:b/>
          <w:sz w:val="20"/>
          <w:szCs w:val="20"/>
        </w:rPr>
        <w:t>Regulated Industries</w:t>
      </w:r>
    </w:p>
    <w:p w:rsidR="009623D0" w:rsidRPr="009623D0" w:rsidRDefault="009623D0" w:rsidP="009A04F0">
      <w:pPr>
        <w:spacing w:after="0" w:line="240" w:lineRule="auto"/>
        <w:jc w:val="both"/>
        <w:rPr>
          <w:rFonts w:ascii="Arial" w:eastAsia="Times New Roman" w:hAnsi="Arial" w:cs="Arial"/>
          <w:b/>
          <w:sz w:val="20"/>
          <w:szCs w:val="20"/>
        </w:rPr>
      </w:pPr>
      <w:r w:rsidRPr="009623D0">
        <w:rPr>
          <w:rFonts w:ascii="Arial" w:eastAsia="Times New Roman" w:hAnsi="Arial" w:cs="Arial"/>
          <w:b/>
          <w:sz w:val="20"/>
          <w:szCs w:val="20"/>
        </w:rPr>
        <w:t xml:space="preserve">House Vote: </w:t>
      </w:r>
      <w:r w:rsidR="00F07B52">
        <w:rPr>
          <w:rFonts w:ascii="Arial" w:eastAsia="Times New Roman" w:hAnsi="Arial" w:cs="Arial"/>
          <w:b/>
          <w:sz w:val="20"/>
          <w:szCs w:val="20"/>
        </w:rPr>
        <w:t>160</w:t>
      </w:r>
      <w:r w:rsidRPr="009623D0">
        <w:rPr>
          <w:rFonts w:ascii="Arial" w:eastAsia="Times New Roman" w:hAnsi="Arial" w:cs="Arial"/>
          <w:b/>
          <w:sz w:val="20"/>
          <w:szCs w:val="20"/>
        </w:rPr>
        <w:t>-</w:t>
      </w:r>
      <w:r w:rsidR="00F07B52">
        <w:rPr>
          <w:rFonts w:ascii="Arial" w:eastAsia="Times New Roman" w:hAnsi="Arial" w:cs="Arial"/>
          <w:b/>
          <w:sz w:val="20"/>
          <w:szCs w:val="20"/>
        </w:rPr>
        <w:t>1</w:t>
      </w:r>
      <w:r w:rsidRPr="009623D0">
        <w:rPr>
          <w:rFonts w:ascii="Arial" w:eastAsia="Times New Roman" w:hAnsi="Arial" w:cs="Arial"/>
          <w:b/>
          <w:sz w:val="20"/>
          <w:szCs w:val="20"/>
        </w:rPr>
        <w:t>0</w:t>
      </w:r>
      <w:r w:rsidRPr="009623D0">
        <w:rPr>
          <w:rFonts w:ascii="Arial" w:eastAsia="Times New Roman" w:hAnsi="Arial" w:cs="Arial"/>
          <w:b/>
          <w:sz w:val="20"/>
          <w:szCs w:val="20"/>
        </w:rPr>
        <w:tab/>
      </w:r>
    </w:p>
    <w:p w:rsidR="009623D0" w:rsidRPr="009623D0" w:rsidRDefault="009623D0" w:rsidP="009A04F0">
      <w:pPr>
        <w:spacing w:after="0" w:line="240" w:lineRule="auto"/>
        <w:jc w:val="both"/>
        <w:rPr>
          <w:rFonts w:ascii="Arial" w:eastAsia="Times New Roman" w:hAnsi="Arial" w:cs="Arial"/>
          <w:sz w:val="20"/>
          <w:szCs w:val="20"/>
        </w:rPr>
      </w:pPr>
    </w:p>
    <w:p w:rsidR="009623D0" w:rsidRPr="009623D0" w:rsidRDefault="009623D0" w:rsidP="009623D0">
      <w:pPr>
        <w:spacing w:after="0" w:line="240" w:lineRule="auto"/>
        <w:jc w:val="both"/>
        <w:rPr>
          <w:rFonts w:ascii="Arial" w:eastAsia="Times New Roman" w:hAnsi="Arial" w:cs="Arial"/>
          <w:sz w:val="20"/>
          <w:szCs w:val="20"/>
        </w:rPr>
      </w:pPr>
    </w:p>
    <w:p w:rsidR="009623D0" w:rsidRPr="009623D0" w:rsidRDefault="009623D0" w:rsidP="009623D0">
      <w:pPr>
        <w:spacing w:after="0" w:line="240" w:lineRule="auto"/>
        <w:jc w:val="both"/>
        <w:rPr>
          <w:rFonts w:ascii="Arial" w:eastAsia="Times New Roman" w:hAnsi="Arial" w:cs="Arial"/>
          <w:sz w:val="20"/>
          <w:szCs w:val="20"/>
        </w:rPr>
      </w:pPr>
    </w:p>
    <w:p w:rsidR="009623D0" w:rsidRPr="009623D0" w:rsidRDefault="009623D0" w:rsidP="009623D0">
      <w:pPr>
        <w:spacing w:after="0" w:line="240" w:lineRule="auto"/>
        <w:jc w:val="both"/>
        <w:rPr>
          <w:rFonts w:ascii="Arial" w:eastAsia="Times New Roman" w:hAnsi="Arial" w:cs="Arial"/>
          <w:sz w:val="20"/>
          <w:szCs w:val="20"/>
        </w:rPr>
      </w:pPr>
    </w:p>
    <w:p w:rsidR="009623D0" w:rsidRPr="009623D0" w:rsidRDefault="009623D0" w:rsidP="009623D0">
      <w:pPr>
        <w:spacing w:after="0" w:line="240" w:lineRule="auto"/>
        <w:jc w:val="both"/>
        <w:rPr>
          <w:rFonts w:ascii="Arial" w:eastAsia="Times New Roman" w:hAnsi="Arial" w:cs="Arial"/>
          <w:sz w:val="20"/>
          <w:szCs w:val="20"/>
        </w:rPr>
      </w:pPr>
    </w:p>
    <w:p w:rsidR="009623D0" w:rsidRPr="009623D0" w:rsidRDefault="009623D0" w:rsidP="009623D0">
      <w:pPr>
        <w:spacing w:after="0" w:line="240" w:lineRule="auto"/>
        <w:jc w:val="both"/>
        <w:rPr>
          <w:rFonts w:ascii="Arial" w:eastAsia="Times New Roman" w:hAnsi="Arial" w:cs="Arial"/>
          <w:sz w:val="20"/>
          <w:szCs w:val="20"/>
        </w:rPr>
      </w:pPr>
    </w:p>
    <w:p w:rsidR="009623D0" w:rsidRPr="009623D0" w:rsidRDefault="009623D0" w:rsidP="009623D0">
      <w:pPr>
        <w:spacing w:after="0" w:line="240" w:lineRule="auto"/>
        <w:jc w:val="both"/>
        <w:rPr>
          <w:rFonts w:ascii="Arial" w:eastAsia="Times New Roman" w:hAnsi="Arial" w:cs="Arial"/>
          <w:sz w:val="20"/>
          <w:szCs w:val="20"/>
        </w:rPr>
      </w:pPr>
    </w:p>
    <w:p w:rsidR="009623D0" w:rsidRPr="009623D0" w:rsidRDefault="009623D0" w:rsidP="009623D0">
      <w:pPr>
        <w:spacing w:after="0" w:line="240" w:lineRule="auto"/>
        <w:jc w:val="both"/>
        <w:rPr>
          <w:rFonts w:ascii="Arial" w:eastAsia="Times New Roman" w:hAnsi="Arial" w:cs="Arial"/>
          <w:sz w:val="20"/>
          <w:szCs w:val="20"/>
        </w:rPr>
      </w:pPr>
    </w:p>
    <w:p w:rsidR="009623D0" w:rsidRPr="009623D0" w:rsidRDefault="009623D0" w:rsidP="009623D0">
      <w:pPr>
        <w:spacing w:after="0" w:line="240" w:lineRule="auto"/>
        <w:jc w:val="both"/>
        <w:rPr>
          <w:rFonts w:ascii="Arial" w:eastAsia="Times New Roman" w:hAnsi="Arial" w:cs="Arial"/>
          <w:sz w:val="20"/>
          <w:szCs w:val="20"/>
        </w:rPr>
      </w:pPr>
    </w:p>
    <w:p w:rsidR="009623D0" w:rsidRPr="009623D0" w:rsidRDefault="009623D0" w:rsidP="009623D0">
      <w:pPr>
        <w:spacing w:after="0" w:line="240" w:lineRule="auto"/>
        <w:jc w:val="both"/>
        <w:rPr>
          <w:rFonts w:ascii="Arial" w:eastAsia="Times New Roman" w:hAnsi="Arial" w:cs="Arial"/>
          <w:sz w:val="20"/>
          <w:szCs w:val="20"/>
        </w:rPr>
      </w:pPr>
    </w:p>
    <w:p w:rsidR="009623D0" w:rsidRPr="009623D0" w:rsidRDefault="009623D0" w:rsidP="009623D0">
      <w:pPr>
        <w:spacing w:after="0" w:line="240" w:lineRule="auto"/>
        <w:jc w:val="both"/>
        <w:rPr>
          <w:rFonts w:ascii="Arial" w:eastAsia="Times New Roman" w:hAnsi="Arial" w:cs="Arial"/>
          <w:sz w:val="20"/>
          <w:szCs w:val="20"/>
        </w:rPr>
      </w:pPr>
    </w:p>
    <w:p w:rsidR="009623D0" w:rsidRPr="009623D0" w:rsidRDefault="009623D0" w:rsidP="009623D0">
      <w:pPr>
        <w:spacing w:after="0" w:line="240" w:lineRule="auto"/>
        <w:jc w:val="both"/>
        <w:rPr>
          <w:rFonts w:ascii="Arial" w:eastAsia="Times New Roman" w:hAnsi="Arial" w:cs="Arial"/>
          <w:sz w:val="20"/>
          <w:szCs w:val="20"/>
        </w:rPr>
      </w:pPr>
    </w:p>
    <w:p w:rsidR="009623D0" w:rsidRPr="009623D0" w:rsidRDefault="009623D0" w:rsidP="009623D0">
      <w:pPr>
        <w:spacing w:after="0" w:line="240" w:lineRule="auto"/>
        <w:jc w:val="both"/>
        <w:rPr>
          <w:rFonts w:ascii="Arial" w:eastAsia="Times New Roman" w:hAnsi="Arial" w:cs="Arial"/>
          <w:sz w:val="20"/>
          <w:szCs w:val="20"/>
        </w:rPr>
      </w:pPr>
    </w:p>
    <w:p w:rsidR="009623D0" w:rsidRPr="009623D0" w:rsidRDefault="009623D0" w:rsidP="009623D0">
      <w:pPr>
        <w:spacing w:after="0" w:line="240" w:lineRule="auto"/>
        <w:jc w:val="both"/>
        <w:rPr>
          <w:rFonts w:ascii="Arial" w:eastAsia="Times New Roman" w:hAnsi="Arial" w:cs="Arial"/>
          <w:sz w:val="20"/>
          <w:szCs w:val="20"/>
        </w:rPr>
      </w:pPr>
    </w:p>
    <w:p w:rsidR="009623D0" w:rsidRPr="009623D0" w:rsidRDefault="009623D0" w:rsidP="009623D0">
      <w:pPr>
        <w:spacing w:after="0" w:line="240" w:lineRule="auto"/>
        <w:jc w:val="both"/>
        <w:rPr>
          <w:rFonts w:ascii="Arial" w:eastAsia="Times New Roman" w:hAnsi="Arial" w:cs="Arial"/>
          <w:sz w:val="20"/>
          <w:szCs w:val="20"/>
        </w:rPr>
      </w:pPr>
    </w:p>
    <w:p w:rsidR="009623D0" w:rsidRPr="009623D0" w:rsidRDefault="009623D0" w:rsidP="009623D0">
      <w:pPr>
        <w:spacing w:after="0" w:line="240" w:lineRule="auto"/>
        <w:jc w:val="both"/>
        <w:rPr>
          <w:rFonts w:ascii="Arial" w:eastAsia="Times New Roman" w:hAnsi="Arial" w:cs="Arial"/>
          <w:sz w:val="20"/>
          <w:szCs w:val="20"/>
        </w:rPr>
      </w:pPr>
    </w:p>
    <w:p w:rsidR="009623D0" w:rsidRPr="009623D0" w:rsidRDefault="009623D0" w:rsidP="009623D0">
      <w:pPr>
        <w:spacing w:after="0" w:line="240" w:lineRule="auto"/>
        <w:jc w:val="both"/>
        <w:rPr>
          <w:rFonts w:ascii="Arial" w:eastAsia="Times New Roman" w:hAnsi="Arial" w:cs="Arial"/>
          <w:sz w:val="20"/>
          <w:szCs w:val="20"/>
        </w:rPr>
      </w:pPr>
    </w:p>
    <w:p w:rsidR="009623D0" w:rsidRPr="009623D0" w:rsidRDefault="009623D0" w:rsidP="009623D0">
      <w:pPr>
        <w:spacing w:after="0" w:line="240" w:lineRule="auto"/>
        <w:jc w:val="both"/>
        <w:rPr>
          <w:rFonts w:ascii="Arial" w:eastAsia="Times New Roman" w:hAnsi="Arial" w:cs="Arial"/>
          <w:sz w:val="20"/>
          <w:szCs w:val="20"/>
        </w:rPr>
      </w:pPr>
    </w:p>
    <w:p w:rsidR="009623D0" w:rsidRPr="009623D0" w:rsidRDefault="009623D0" w:rsidP="009623D0">
      <w:pPr>
        <w:spacing w:after="0" w:line="240" w:lineRule="auto"/>
        <w:jc w:val="both"/>
        <w:rPr>
          <w:rFonts w:ascii="Arial" w:eastAsia="Times New Roman" w:hAnsi="Arial" w:cs="Arial"/>
          <w:sz w:val="20"/>
          <w:szCs w:val="20"/>
        </w:rPr>
      </w:pPr>
    </w:p>
    <w:p w:rsidR="009623D0" w:rsidRPr="009623D0" w:rsidRDefault="009623D0" w:rsidP="009623D0">
      <w:pPr>
        <w:spacing w:after="0" w:line="240" w:lineRule="auto"/>
        <w:jc w:val="both"/>
        <w:rPr>
          <w:rFonts w:ascii="Arial" w:eastAsia="Times New Roman" w:hAnsi="Arial" w:cs="Arial"/>
          <w:sz w:val="20"/>
          <w:szCs w:val="20"/>
        </w:rPr>
      </w:pPr>
    </w:p>
    <w:p w:rsidR="009623D0" w:rsidRPr="009623D0" w:rsidRDefault="009623D0" w:rsidP="009623D0">
      <w:pPr>
        <w:spacing w:after="0" w:line="240" w:lineRule="auto"/>
        <w:jc w:val="both"/>
        <w:rPr>
          <w:rFonts w:ascii="Arial" w:eastAsia="Times New Roman" w:hAnsi="Arial" w:cs="Arial"/>
          <w:sz w:val="20"/>
          <w:szCs w:val="20"/>
        </w:rPr>
      </w:pPr>
    </w:p>
    <w:p w:rsidR="009623D0" w:rsidRPr="009623D0" w:rsidRDefault="009623D0" w:rsidP="009623D0">
      <w:pPr>
        <w:spacing w:after="0" w:line="240" w:lineRule="auto"/>
        <w:jc w:val="both"/>
        <w:rPr>
          <w:rFonts w:ascii="Arial" w:eastAsia="Times New Roman" w:hAnsi="Arial" w:cs="Arial"/>
          <w:sz w:val="20"/>
          <w:szCs w:val="20"/>
        </w:rPr>
      </w:pPr>
    </w:p>
    <w:p w:rsidR="009623D0" w:rsidRPr="009623D0" w:rsidRDefault="009623D0" w:rsidP="009623D0">
      <w:pPr>
        <w:spacing w:after="0" w:line="240" w:lineRule="auto"/>
        <w:jc w:val="both"/>
        <w:rPr>
          <w:rFonts w:ascii="Arial" w:eastAsia="Times New Roman" w:hAnsi="Arial" w:cs="Arial"/>
          <w:sz w:val="20"/>
          <w:szCs w:val="20"/>
        </w:rPr>
      </w:pPr>
    </w:p>
    <w:p w:rsidR="009623D0" w:rsidRPr="009623D0" w:rsidRDefault="009623D0" w:rsidP="009623D0">
      <w:pPr>
        <w:spacing w:after="0" w:line="240" w:lineRule="auto"/>
        <w:jc w:val="both"/>
        <w:rPr>
          <w:rFonts w:ascii="Arial" w:eastAsia="Times New Roman" w:hAnsi="Arial" w:cs="Arial"/>
          <w:sz w:val="20"/>
          <w:szCs w:val="20"/>
        </w:rPr>
      </w:pPr>
    </w:p>
    <w:p w:rsidR="009623D0" w:rsidRPr="009623D0" w:rsidRDefault="009623D0" w:rsidP="009623D0">
      <w:pPr>
        <w:spacing w:after="0" w:line="240" w:lineRule="auto"/>
        <w:jc w:val="both"/>
        <w:rPr>
          <w:rFonts w:ascii="Arial" w:eastAsia="Times New Roman" w:hAnsi="Arial" w:cs="Arial"/>
          <w:sz w:val="20"/>
          <w:szCs w:val="20"/>
        </w:rPr>
      </w:pPr>
    </w:p>
    <w:p w:rsidR="009623D0" w:rsidRPr="009623D0" w:rsidRDefault="009623D0" w:rsidP="009623D0">
      <w:pPr>
        <w:spacing w:after="0" w:line="240" w:lineRule="auto"/>
        <w:jc w:val="both"/>
        <w:rPr>
          <w:rFonts w:ascii="Arial" w:eastAsia="Times New Roman" w:hAnsi="Arial" w:cs="Arial"/>
          <w:sz w:val="20"/>
          <w:szCs w:val="20"/>
        </w:rPr>
      </w:pPr>
    </w:p>
    <w:p w:rsidR="009623D0" w:rsidRPr="009623D0" w:rsidRDefault="009623D0" w:rsidP="009623D0">
      <w:pPr>
        <w:spacing w:after="0" w:line="240" w:lineRule="auto"/>
        <w:jc w:val="both"/>
        <w:rPr>
          <w:rFonts w:ascii="Arial" w:eastAsia="Times New Roman" w:hAnsi="Arial" w:cs="Arial"/>
          <w:sz w:val="20"/>
          <w:szCs w:val="20"/>
        </w:rPr>
      </w:pPr>
    </w:p>
    <w:p w:rsidR="009623D0" w:rsidRPr="009623D0" w:rsidRDefault="009623D0" w:rsidP="009623D0">
      <w:pPr>
        <w:spacing w:after="0" w:line="240" w:lineRule="auto"/>
        <w:jc w:val="both"/>
        <w:rPr>
          <w:rFonts w:ascii="Arial" w:eastAsia="Times New Roman" w:hAnsi="Arial" w:cs="Arial"/>
          <w:sz w:val="20"/>
          <w:szCs w:val="20"/>
        </w:rPr>
      </w:pPr>
    </w:p>
    <w:p w:rsidR="009623D0" w:rsidRPr="009623D0" w:rsidRDefault="009623D0" w:rsidP="009623D0">
      <w:pPr>
        <w:spacing w:after="0" w:line="240" w:lineRule="auto"/>
        <w:jc w:val="both"/>
        <w:rPr>
          <w:rFonts w:ascii="Arial" w:eastAsia="Times New Roman" w:hAnsi="Arial" w:cs="Arial"/>
          <w:sz w:val="20"/>
          <w:szCs w:val="20"/>
        </w:rPr>
      </w:pPr>
    </w:p>
    <w:p w:rsidR="009623D0" w:rsidRPr="009623D0" w:rsidRDefault="009623D0" w:rsidP="009623D0">
      <w:pPr>
        <w:spacing w:after="0" w:line="240" w:lineRule="auto"/>
        <w:jc w:val="both"/>
        <w:rPr>
          <w:rFonts w:ascii="Arial" w:eastAsia="Times New Roman" w:hAnsi="Arial" w:cs="Arial"/>
          <w:sz w:val="20"/>
          <w:szCs w:val="20"/>
        </w:rPr>
      </w:pPr>
    </w:p>
    <w:p w:rsidR="009623D0" w:rsidRPr="009623D0" w:rsidRDefault="009623D0" w:rsidP="009623D0">
      <w:pPr>
        <w:spacing w:after="0" w:line="240" w:lineRule="auto"/>
        <w:jc w:val="both"/>
        <w:rPr>
          <w:rFonts w:ascii="Arial" w:eastAsia="Times New Roman" w:hAnsi="Arial" w:cs="Arial"/>
          <w:b/>
          <w:sz w:val="16"/>
          <w:szCs w:val="16"/>
        </w:rPr>
      </w:pPr>
    </w:p>
    <w:p w:rsidR="009623D0" w:rsidRPr="009623D0" w:rsidRDefault="009623D0" w:rsidP="009623D0">
      <w:pPr>
        <w:spacing w:after="0" w:line="240" w:lineRule="auto"/>
        <w:rPr>
          <w:rFonts w:ascii="Arial" w:eastAsia="Times New Roman" w:hAnsi="Arial" w:cs="Arial"/>
        </w:rPr>
      </w:pPr>
    </w:p>
    <w:p w:rsidR="006365E9" w:rsidRDefault="006365E9"/>
    <w:sectPr w:rsidR="006365E9" w:rsidSect="008F7467">
      <w:footerReference w:type="even" r:id="rId10"/>
      <w:footerReference w:type="default" r:id="rId11"/>
      <w:pgSz w:w="12240" w:h="15840"/>
      <w:pgMar w:top="864" w:right="1296"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467" w:rsidRDefault="008F7467" w:rsidP="00573CA4">
      <w:pPr>
        <w:spacing w:after="0" w:line="240" w:lineRule="auto"/>
      </w:pPr>
      <w:r>
        <w:separator/>
      </w:r>
    </w:p>
  </w:endnote>
  <w:endnote w:type="continuationSeparator" w:id="0">
    <w:p w:rsidR="008F7467" w:rsidRDefault="008F7467" w:rsidP="00573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467" w:rsidRDefault="008F7467" w:rsidP="008F74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F7467" w:rsidRDefault="008F74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467" w:rsidRDefault="008F7467" w:rsidP="008F7467">
    <w:pPr>
      <w:pStyle w:val="Footer"/>
    </w:pPr>
    <w:r>
      <w:rPr>
        <w:rStyle w:val="PageNumber"/>
        <w:b/>
        <w:sz w:val="16"/>
        <w:szCs w:val="16"/>
      </w:rPr>
      <w:t>Analyst: John Culverhouse</w:t>
    </w:r>
    <w:r>
      <w:rPr>
        <w:rStyle w:val="PageNumber"/>
        <w:b/>
        <w:sz w:val="16"/>
        <w:szCs w:val="16"/>
      </w:rPr>
      <w:tab/>
    </w:r>
    <w:r w:rsidRPr="00696219">
      <w:rPr>
        <w:rStyle w:val="PageNumber"/>
        <w:b/>
        <w:sz w:val="16"/>
        <w:szCs w:val="16"/>
      </w:rPr>
      <w:t xml:space="preserve">Page </w:t>
    </w:r>
    <w:r w:rsidRPr="00696219">
      <w:rPr>
        <w:rStyle w:val="PageNumber"/>
        <w:b/>
        <w:sz w:val="16"/>
        <w:szCs w:val="16"/>
      </w:rPr>
      <w:fldChar w:fldCharType="begin"/>
    </w:r>
    <w:r w:rsidRPr="00696219">
      <w:rPr>
        <w:rStyle w:val="PageNumber"/>
        <w:b/>
        <w:sz w:val="16"/>
        <w:szCs w:val="16"/>
      </w:rPr>
      <w:instrText xml:space="preserve"> PAGE </w:instrText>
    </w:r>
    <w:r w:rsidRPr="00696219">
      <w:rPr>
        <w:rStyle w:val="PageNumber"/>
        <w:b/>
        <w:sz w:val="16"/>
        <w:szCs w:val="16"/>
      </w:rPr>
      <w:fldChar w:fldCharType="separate"/>
    </w:r>
    <w:r w:rsidR="008304FD">
      <w:rPr>
        <w:rStyle w:val="PageNumber"/>
        <w:b/>
        <w:noProof/>
        <w:sz w:val="16"/>
        <w:szCs w:val="16"/>
      </w:rPr>
      <w:t>1</w:t>
    </w:r>
    <w:r w:rsidRPr="00696219">
      <w:rPr>
        <w:rStyle w:val="PageNumber"/>
        <w:b/>
        <w:sz w:val="16"/>
        <w:szCs w:val="16"/>
      </w:rPr>
      <w:fldChar w:fldCharType="end"/>
    </w:r>
    <w:r w:rsidRPr="00696219">
      <w:rPr>
        <w:rStyle w:val="PageNumber"/>
        <w:b/>
        <w:sz w:val="16"/>
        <w:szCs w:val="16"/>
      </w:rPr>
      <w:t xml:space="preserve"> of </w:t>
    </w:r>
    <w:r w:rsidRPr="00696219">
      <w:rPr>
        <w:rStyle w:val="PageNumber"/>
        <w:b/>
        <w:sz w:val="16"/>
        <w:szCs w:val="16"/>
      </w:rPr>
      <w:fldChar w:fldCharType="begin"/>
    </w:r>
    <w:r w:rsidRPr="00696219">
      <w:rPr>
        <w:rStyle w:val="PageNumber"/>
        <w:b/>
        <w:sz w:val="16"/>
        <w:szCs w:val="16"/>
      </w:rPr>
      <w:instrText xml:space="preserve"> NUMPAGES </w:instrText>
    </w:r>
    <w:r w:rsidRPr="00696219">
      <w:rPr>
        <w:rStyle w:val="PageNumber"/>
        <w:b/>
        <w:sz w:val="16"/>
        <w:szCs w:val="16"/>
      </w:rPr>
      <w:fldChar w:fldCharType="separate"/>
    </w:r>
    <w:r w:rsidR="008304FD">
      <w:rPr>
        <w:rStyle w:val="PageNumber"/>
        <w:b/>
        <w:noProof/>
        <w:sz w:val="16"/>
        <w:szCs w:val="16"/>
      </w:rPr>
      <w:t>4</w:t>
    </w:r>
    <w:r w:rsidRPr="00696219">
      <w:rPr>
        <w:rStyle w:val="PageNumbe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467" w:rsidRDefault="008F7467" w:rsidP="00573CA4">
      <w:pPr>
        <w:spacing w:after="0" w:line="240" w:lineRule="auto"/>
      </w:pPr>
      <w:r>
        <w:separator/>
      </w:r>
    </w:p>
  </w:footnote>
  <w:footnote w:type="continuationSeparator" w:id="0">
    <w:p w:rsidR="008F7467" w:rsidRDefault="008F7467" w:rsidP="00573CA4">
      <w:pPr>
        <w:spacing w:after="0" w:line="240" w:lineRule="auto"/>
      </w:pPr>
      <w:r>
        <w:continuationSeparator/>
      </w:r>
    </w:p>
  </w:footnote>
  <w:footnote w:id="1">
    <w:p w:rsidR="008F7467" w:rsidRDefault="008F7467" w:rsidP="009A04F0">
      <w:pPr>
        <w:pStyle w:val="FootnoteText"/>
        <w:jc w:val="both"/>
      </w:pPr>
      <w:r>
        <w:rPr>
          <w:rStyle w:val="FootnoteReference"/>
        </w:rPr>
        <w:footnoteRef/>
      </w:r>
      <w:r>
        <w:t xml:space="preserve"> “Ride share network service” means any person or entity that uses a digital network or Internet network to connect passengers to ride share drivers for the purpose of prearranged transportation for hire or for donation.</w:t>
      </w:r>
    </w:p>
  </w:footnote>
  <w:footnote w:id="2">
    <w:p w:rsidR="008F7467" w:rsidRDefault="008F7467" w:rsidP="009A04F0">
      <w:pPr>
        <w:pStyle w:val="FootnoteText"/>
        <w:jc w:val="both"/>
      </w:pPr>
      <w:r>
        <w:rPr>
          <w:rStyle w:val="FootnoteReference"/>
        </w:rPr>
        <w:footnoteRef/>
      </w:r>
      <w:r>
        <w:t xml:space="preserve"> “Transportation referral service” means any person or entity that books, refers clients to, collects money for, or advertises transportation services provided by a limousine carrier or taxi service by means of a telephone, through cellular telephone software, through the Internet, in person, by written instrument, by any person, or by any other means, and does not own or lease any motor vehicle required to be registered with the Department of Public Safety as a limousine carrier or a taxi service.  A transportation referral service shall not include emergency or nonemergency medical transports.  </w:t>
      </w:r>
    </w:p>
  </w:footnote>
  <w:footnote w:id="3">
    <w:p w:rsidR="008F7467" w:rsidRDefault="008F7467" w:rsidP="009A04F0">
      <w:pPr>
        <w:pStyle w:val="FootnoteText"/>
        <w:jc w:val="both"/>
      </w:pPr>
      <w:r>
        <w:rPr>
          <w:rStyle w:val="FootnoteReference"/>
        </w:rPr>
        <w:footnoteRef/>
      </w:r>
      <w:r>
        <w:t xml:space="preserve"> “Transportation referral service provider” means any person or entity that books, refers clients to, collects money for, or advertises transportation services provided by a limousine carrier or taxi service by means of a telephone, through cellular telephone software, though the Internet, in person, by written instrument, by any person, or by any other means and owns or leases one or more motor vehicles required to be registered with the Department of public Safety as a limousine carrier or a local government in this state as a taxi service.</w:t>
      </w:r>
    </w:p>
  </w:footnote>
  <w:footnote w:id="4">
    <w:p w:rsidR="008F7467" w:rsidRDefault="008F7467" w:rsidP="009A04F0">
      <w:pPr>
        <w:pStyle w:val="FootnoteText"/>
        <w:jc w:val="both"/>
      </w:pPr>
      <w:r>
        <w:rPr>
          <w:rStyle w:val="FootnoteReference"/>
        </w:rPr>
        <w:footnoteRef/>
      </w:r>
      <w:r>
        <w:t xml:space="preserve"> “Ride share network service” means any person or entity that uses a digital network or Internet network to connect passengers to ride share drivers for the purpose of prearranged transportation for hire or for donation.</w:t>
      </w:r>
    </w:p>
  </w:footnote>
  <w:footnote w:id="5">
    <w:p w:rsidR="008F7467" w:rsidRDefault="008F7467" w:rsidP="009A04F0">
      <w:pPr>
        <w:pStyle w:val="FootnoteText"/>
        <w:jc w:val="both"/>
      </w:pPr>
      <w:r>
        <w:rPr>
          <w:rStyle w:val="FootnoteReference"/>
        </w:rPr>
        <w:footnoteRef/>
      </w:r>
      <w:r>
        <w:t xml:space="preserve"> “For-hire vehicle” means a motor vehicle used in this state by a limousine carrier, ride share network, ride share network driver, or taxi service for the purpose of transporting passengers for compensation or donation.  </w:t>
      </w:r>
    </w:p>
  </w:footnote>
  <w:footnote w:id="6">
    <w:p w:rsidR="008F7467" w:rsidRDefault="008F7467" w:rsidP="009A04F0">
      <w:pPr>
        <w:pStyle w:val="FootnoteText"/>
        <w:jc w:val="both"/>
      </w:pPr>
      <w:r>
        <w:rPr>
          <w:rStyle w:val="FootnoteReference"/>
        </w:rPr>
        <w:footnoteRef/>
      </w:r>
      <w:r>
        <w:t xml:space="preserve"> “For-hire license endorsement” means an endorsement to a driver’s license that authorizes the holder of the license to operate a motor vehicle for the purpose of transporting passengers in this state for compensation or donation as a limousine carrier, ride share network or driver, or taxis service.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F7EB3"/>
    <w:multiLevelType w:val="hybridMultilevel"/>
    <w:tmpl w:val="D14AB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D6E2AC2"/>
    <w:multiLevelType w:val="hybridMultilevel"/>
    <w:tmpl w:val="1D4E8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3D0"/>
    <w:rsid w:val="00120560"/>
    <w:rsid w:val="00241332"/>
    <w:rsid w:val="002519E9"/>
    <w:rsid w:val="00324DD6"/>
    <w:rsid w:val="00337563"/>
    <w:rsid w:val="00454928"/>
    <w:rsid w:val="004A775A"/>
    <w:rsid w:val="00512AF4"/>
    <w:rsid w:val="00554A63"/>
    <w:rsid w:val="00573CA4"/>
    <w:rsid w:val="006365E9"/>
    <w:rsid w:val="00654B38"/>
    <w:rsid w:val="0066318E"/>
    <w:rsid w:val="00713B95"/>
    <w:rsid w:val="008304FD"/>
    <w:rsid w:val="008812B4"/>
    <w:rsid w:val="008F7467"/>
    <w:rsid w:val="009623D0"/>
    <w:rsid w:val="00981079"/>
    <w:rsid w:val="009A04F0"/>
    <w:rsid w:val="009D1DD3"/>
    <w:rsid w:val="009D4A71"/>
    <w:rsid w:val="009F3585"/>
    <w:rsid w:val="00B1455F"/>
    <w:rsid w:val="00B375DB"/>
    <w:rsid w:val="00BC7AF2"/>
    <w:rsid w:val="00D77146"/>
    <w:rsid w:val="00DA366E"/>
    <w:rsid w:val="00DE4D7A"/>
    <w:rsid w:val="00ED4F00"/>
    <w:rsid w:val="00F07B52"/>
    <w:rsid w:val="00FB6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623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623D0"/>
  </w:style>
  <w:style w:type="character" w:styleId="PageNumber">
    <w:name w:val="page number"/>
    <w:basedOn w:val="DefaultParagraphFont"/>
    <w:rsid w:val="009623D0"/>
  </w:style>
  <w:style w:type="paragraph" w:styleId="ListParagraph">
    <w:name w:val="List Paragraph"/>
    <w:basedOn w:val="Normal"/>
    <w:uiPriority w:val="34"/>
    <w:qFormat/>
    <w:rsid w:val="009623D0"/>
    <w:pPr>
      <w:ind w:left="720"/>
      <w:contextualSpacing/>
    </w:pPr>
  </w:style>
  <w:style w:type="paragraph" w:styleId="FootnoteText">
    <w:name w:val="footnote text"/>
    <w:basedOn w:val="Normal"/>
    <w:link w:val="FootnoteTextChar"/>
    <w:uiPriority w:val="99"/>
    <w:semiHidden/>
    <w:unhideWhenUsed/>
    <w:rsid w:val="00573C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3CA4"/>
    <w:rPr>
      <w:sz w:val="20"/>
      <w:szCs w:val="20"/>
    </w:rPr>
  </w:style>
  <w:style w:type="character" w:styleId="FootnoteReference">
    <w:name w:val="footnote reference"/>
    <w:basedOn w:val="DefaultParagraphFont"/>
    <w:uiPriority w:val="99"/>
    <w:semiHidden/>
    <w:unhideWhenUsed/>
    <w:rsid w:val="00573CA4"/>
    <w:rPr>
      <w:vertAlign w:val="superscript"/>
    </w:rPr>
  </w:style>
  <w:style w:type="paragraph" w:styleId="BalloonText">
    <w:name w:val="Balloon Text"/>
    <w:basedOn w:val="Normal"/>
    <w:link w:val="BalloonTextChar"/>
    <w:uiPriority w:val="99"/>
    <w:semiHidden/>
    <w:unhideWhenUsed/>
    <w:rsid w:val="00654B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B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623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623D0"/>
  </w:style>
  <w:style w:type="character" w:styleId="PageNumber">
    <w:name w:val="page number"/>
    <w:basedOn w:val="DefaultParagraphFont"/>
    <w:rsid w:val="009623D0"/>
  </w:style>
  <w:style w:type="paragraph" w:styleId="ListParagraph">
    <w:name w:val="List Paragraph"/>
    <w:basedOn w:val="Normal"/>
    <w:uiPriority w:val="34"/>
    <w:qFormat/>
    <w:rsid w:val="009623D0"/>
    <w:pPr>
      <w:ind w:left="720"/>
      <w:contextualSpacing/>
    </w:pPr>
  </w:style>
  <w:style w:type="paragraph" w:styleId="FootnoteText">
    <w:name w:val="footnote text"/>
    <w:basedOn w:val="Normal"/>
    <w:link w:val="FootnoteTextChar"/>
    <w:uiPriority w:val="99"/>
    <w:semiHidden/>
    <w:unhideWhenUsed/>
    <w:rsid w:val="00573C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3CA4"/>
    <w:rPr>
      <w:sz w:val="20"/>
      <w:szCs w:val="20"/>
    </w:rPr>
  </w:style>
  <w:style w:type="character" w:styleId="FootnoteReference">
    <w:name w:val="footnote reference"/>
    <w:basedOn w:val="DefaultParagraphFont"/>
    <w:uiPriority w:val="99"/>
    <w:semiHidden/>
    <w:unhideWhenUsed/>
    <w:rsid w:val="00573CA4"/>
    <w:rPr>
      <w:vertAlign w:val="superscript"/>
    </w:rPr>
  </w:style>
  <w:style w:type="paragraph" w:styleId="BalloonText">
    <w:name w:val="Balloon Text"/>
    <w:basedOn w:val="Normal"/>
    <w:link w:val="BalloonTextChar"/>
    <w:uiPriority w:val="99"/>
    <w:semiHidden/>
    <w:unhideWhenUsed/>
    <w:rsid w:val="00654B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B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71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3CA72-6A9A-466A-BC00-155A09B8D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1355</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Culverhouse, John</dc:creator>
  <cp:lastModifiedBy>Culverhouse, John</cp:lastModifiedBy>
  <cp:revision>2</cp:revision>
  <cp:lastPrinted>2015-03-17T15:20:00Z</cp:lastPrinted>
  <dcterms:created xsi:type="dcterms:W3CDTF">2015-04-06T15:00:00Z</dcterms:created>
  <dcterms:modified xsi:type="dcterms:W3CDTF">2015-04-06T15:00:00Z</dcterms:modified>
</cp:coreProperties>
</file>