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191"/>
        <w:gridCol w:w="4464"/>
        <w:gridCol w:w="2695"/>
      </w:tblGrid>
      <w:tr w:rsidR="002C38EC" w:rsidTr="009901DD">
        <w:tc>
          <w:tcPr>
            <w:tcW w:w="9350" w:type="dxa"/>
            <w:gridSpan w:val="3"/>
          </w:tcPr>
          <w:p w:rsidR="00002272" w:rsidRDefault="00002272">
            <w:pPr>
              <w:rPr>
                <w:b/>
                <w:color w:val="2E74B5" w:themeColor="accent1" w:themeShade="BF"/>
                <w:sz w:val="28"/>
                <w:szCs w:val="28"/>
              </w:rPr>
            </w:pPr>
            <w:r w:rsidRPr="00002272">
              <w:rPr>
                <w:b/>
                <w:color w:val="2E74B5" w:themeColor="accent1" w:themeShade="BF"/>
                <w:sz w:val="28"/>
                <w:szCs w:val="28"/>
              </w:rPr>
              <w:t xml:space="preserve">Comments on Dunwoody Perimeter Center Overlay and Districts </w:t>
            </w:r>
            <w:r>
              <w:rPr>
                <w:b/>
                <w:color w:val="2E74B5" w:themeColor="accent1" w:themeShade="BF"/>
                <w:sz w:val="28"/>
                <w:szCs w:val="28"/>
              </w:rPr>
              <w:t>Draft</w:t>
            </w:r>
          </w:p>
          <w:p w:rsidR="002C38EC" w:rsidRPr="00002272" w:rsidRDefault="00257F84">
            <w:r>
              <w:rPr>
                <w:color w:val="2E74B5" w:themeColor="accent1" w:themeShade="BF"/>
              </w:rPr>
              <w:t>February 2016</w:t>
            </w:r>
            <w:bookmarkStart w:id="0" w:name="_GoBack"/>
            <w:bookmarkEnd w:id="0"/>
          </w:p>
        </w:tc>
      </w:tr>
      <w:tr w:rsidR="00002272" w:rsidTr="00C97002">
        <w:tc>
          <w:tcPr>
            <w:tcW w:w="9350" w:type="dxa"/>
            <w:gridSpan w:val="3"/>
            <w:shd w:val="clear" w:color="auto" w:fill="2E74B5" w:themeFill="accent1" w:themeFillShade="BF"/>
          </w:tcPr>
          <w:p w:rsidR="00002272" w:rsidRDefault="00002272">
            <w:r w:rsidRPr="00002272">
              <w:rPr>
                <w:b/>
                <w:color w:val="FFFFFF" w:themeColor="background1"/>
              </w:rPr>
              <w:t>Perimeter Center Overlay</w:t>
            </w:r>
          </w:p>
        </w:tc>
      </w:tr>
      <w:tr w:rsidR="0080424E" w:rsidTr="00B76816">
        <w:tc>
          <w:tcPr>
            <w:tcW w:w="2191" w:type="dxa"/>
          </w:tcPr>
          <w:p w:rsidR="0080424E" w:rsidRPr="00B76816" w:rsidRDefault="0080424E" w:rsidP="00B76816">
            <w:pPr>
              <w:rPr>
                <w:i/>
                <w:color w:val="767171" w:themeColor="background2" w:themeShade="80"/>
              </w:rPr>
            </w:pPr>
            <w:r w:rsidRPr="00B76816">
              <w:rPr>
                <w:i/>
                <w:color w:val="767171" w:themeColor="background2" w:themeShade="80"/>
              </w:rPr>
              <w:t xml:space="preserve">Section </w:t>
            </w:r>
          </w:p>
        </w:tc>
        <w:tc>
          <w:tcPr>
            <w:tcW w:w="4464" w:type="dxa"/>
          </w:tcPr>
          <w:p w:rsidR="0080424E" w:rsidRPr="00B76816" w:rsidRDefault="0080424E">
            <w:pPr>
              <w:rPr>
                <w:i/>
                <w:color w:val="767171" w:themeColor="background2" w:themeShade="80"/>
              </w:rPr>
            </w:pPr>
            <w:r w:rsidRPr="00B76816">
              <w:rPr>
                <w:i/>
                <w:color w:val="767171" w:themeColor="background2" w:themeShade="80"/>
              </w:rPr>
              <w:t>CQG Comment</w:t>
            </w:r>
          </w:p>
        </w:tc>
        <w:tc>
          <w:tcPr>
            <w:tcW w:w="2695" w:type="dxa"/>
          </w:tcPr>
          <w:p w:rsidR="0080424E" w:rsidRPr="00B76816" w:rsidRDefault="00B76816">
            <w:pPr>
              <w:rPr>
                <w:i/>
                <w:color w:val="767171" w:themeColor="background2" w:themeShade="80"/>
              </w:rPr>
            </w:pPr>
            <w:r w:rsidRPr="00B76816">
              <w:rPr>
                <w:i/>
                <w:color w:val="767171" w:themeColor="background2" w:themeShade="80"/>
              </w:rPr>
              <w:t>Additional Comments/ Feedback</w:t>
            </w:r>
          </w:p>
        </w:tc>
      </w:tr>
      <w:tr w:rsidR="0080424E" w:rsidTr="00B76816">
        <w:tc>
          <w:tcPr>
            <w:tcW w:w="2191" w:type="dxa"/>
          </w:tcPr>
          <w:p w:rsidR="0080424E" w:rsidRDefault="001E6491" w:rsidP="001E6491">
            <w:r>
              <w:t>(a)(7</w:t>
            </w:r>
            <w:proofErr w:type="gramStart"/>
            <w:r>
              <w:t>)a</w:t>
            </w:r>
            <w:proofErr w:type="gramEnd"/>
            <w:r>
              <w:t xml:space="preserve">. </w:t>
            </w:r>
            <w:r w:rsidR="002C38EC">
              <w:t>Minor Exceptions</w:t>
            </w:r>
            <w:r>
              <w:t xml:space="preserve"> (page 3.)</w:t>
            </w:r>
          </w:p>
        </w:tc>
        <w:tc>
          <w:tcPr>
            <w:tcW w:w="4464" w:type="dxa"/>
          </w:tcPr>
          <w:p w:rsidR="0080424E" w:rsidRDefault="001E6491" w:rsidP="001E6491">
            <w:r>
              <w:t xml:space="preserve">There is not enough administration relief here. </w:t>
            </w:r>
            <w:r w:rsidR="002C38EC">
              <w:t xml:space="preserve">The Community Development Director should have the authority to make exceptions on all standards </w:t>
            </w:r>
            <w:r>
              <w:t>10 to</w:t>
            </w:r>
            <w:r w:rsidR="002C38EC">
              <w:t xml:space="preserve"> 20%</w:t>
            </w:r>
            <w:r>
              <w:t xml:space="preserve">. (Alpharetta does this) Why were </w:t>
            </w:r>
            <w:proofErr w:type="gramStart"/>
            <w:r>
              <w:t>1.</w:t>
            </w:r>
            <w:proofErr w:type="gramEnd"/>
            <w:r>
              <w:t xml:space="preserve"> </w:t>
            </w:r>
            <w:proofErr w:type="gramStart"/>
            <w:r w:rsidR="0007159E">
              <w:t>t</w:t>
            </w:r>
            <w:r>
              <w:t>hrough</w:t>
            </w:r>
            <w:proofErr w:type="gramEnd"/>
            <w:r>
              <w:t xml:space="preserve"> 3. Removed?</w:t>
            </w:r>
          </w:p>
          <w:p w:rsidR="001E6491" w:rsidRDefault="001E6491" w:rsidP="001E6491"/>
          <w:p w:rsidR="002C38EC" w:rsidRDefault="002C38EC" w:rsidP="001E6491">
            <w:r>
              <w:t>Standards for modification approvals should be written into the code</w:t>
            </w:r>
          </w:p>
        </w:tc>
        <w:tc>
          <w:tcPr>
            <w:tcW w:w="2695" w:type="dxa"/>
          </w:tcPr>
          <w:p w:rsidR="0080424E" w:rsidRDefault="0080424E"/>
        </w:tc>
      </w:tr>
      <w:tr w:rsidR="0080424E" w:rsidTr="00B76816">
        <w:tc>
          <w:tcPr>
            <w:tcW w:w="2191" w:type="dxa"/>
          </w:tcPr>
          <w:p w:rsidR="0080424E" w:rsidRDefault="001E6491">
            <w:r>
              <w:t>(b) (2) b.4. Applicability (pg. 3)</w:t>
            </w:r>
          </w:p>
        </w:tc>
        <w:tc>
          <w:tcPr>
            <w:tcW w:w="4464" w:type="dxa"/>
          </w:tcPr>
          <w:p w:rsidR="0080424E" w:rsidRDefault="001E6491">
            <w:r>
              <w:t>Why are Signs included here? This is a separate issue that should be covered in sign ordinance</w:t>
            </w:r>
          </w:p>
        </w:tc>
        <w:tc>
          <w:tcPr>
            <w:tcW w:w="2695" w:type="dxa"/>
          </w:tcPr>
          <w:p w:rsidR="0080424E" w:rsidRDefault="0080424E"/>
        </w:tc>
      </w:tr>
      <w:tr w:rsidR="0080424E" w:rsidTr="00B76816">
        <w:tc>
          <w:tcPr>
            <w:tcW w:w="2191" w:type="dxa"/>
          </w:tcPr>
          <w:p w:rsidR="0080424E" w:rsidRDefault="00DC43D2">
            <w:r>
              <w:t>(b)(3)d. Shared-Use Paths (pg. 4)</w:t>
            </w:r>
          </w:p>
        </w:tc>
        <w:tc>
          <w:tcPr>
            <w:tcW w:w="4464" w:type="dxa"/>
          </w:tcPr>
          <w:p w:rsidR="0080424E" w:rsidRDefault="00DC43D2">
            <w:r>
              <w:t>This is a huge exaction (requiring public dedication, construction/paving and tree planting) that should be a condition of zoning consented to by individual developers, not required by overlay. It is unclear on the map how the required trail segments link into a greater trail system and appear to only impact five parcels in the overlay?</w:t>
            </w:r>
          </w:p>
        </w:tc>
        <w:tc>
          <w:tcPr>
            <w:tcW w:w="2695" w:type="dxa"/>
          </w:tcPr>
          <w:p w:rsidR="0080424E" w:rsidRDefault="0080424E"/>
        </w:tc>
      </w:tr>
      <w:tr w:rsidR="0080424E" w:rsidTr="00B76816">
        <w:tc>
          <w:tcPr>
            <w:tcW w:w="2191" w:type="dxa"/>
          </w:tcPr>
          <w:p w:rsidR="0080424E" w:rsidRDefault="00FF3F6C">
            <w:r>
              <w:t>(b)(4</w:t>
            </w:r>
            <w:proofErr w:type="gramStart"/>
            <w:r>
              <w:t>)e.9</w:t>
            </w:r>
            <w:proofErr w:type="gramEnd"/>
            <w:r>
              <w:t>. Streetscape Maintenance Procedure</w:t>
            </w:r>
            <w:r w:rsidR="00FC6A75">
              <w:t xml:space="preserve"> (pg. 6)</w:t>
            </w:r>
          </w:p>
        </w:tc>
        <w:tc>
          <w:tcPr>
            <w:tcW w:w="4464" w:type="dxa"/>
          </w:tcPr>
          <w:p w:rsidR="0080424E" w:rsidRDefault="00FF3F6C">
            <w:r>
              <w:t>Need to clarify this requirement. Are developments required to dedicate right-of-way AND submit a maintenance procedure? This should also be condition of zoning.</w:t>
            </w:r>
          </w:p>
        </w:tc>
        <w:tc>
          <w:tcPr>
            <w:tcW w:w="2695" w:type="dxa"/>
          </w:tcPr>
          <w:p w:rsidR="0080424E" w:rsidRDefault="0080424E"/>
        </w:tc>
      </w:tr>
      <w:tr w:rsidR="0080424E" w:rsidTr="00B76816">
        <w:trPr>
          <w:trHeight w:val="296"/>
        </w:trPr>
        <w:tc>
          <w:tcPr>
            <w:tcW w:w="2191" w:type="dxa"/>
          </w:tcPr>
          <w:p w:rsidR="0080424E" w:rsidRDefault="00FF3F6C">
            <w:r>
              <w:t>(b)(5)-(8)c. (Various Street Types) Dedication</w:t>
            </w:r>
            <w:r w:rsidR="00FC6A75">
              <w:t xml:space="preserve"> (pg. 8, 11, 14, and 19)</w:t>
            </w:r>
          </w:p>
        </w:tc>
        <w:tc>
          <w:tcPr>
            <w:tcW w:w="4464" w:type="dxa"/>
          </w:tcPr>
          <w:p w:rsidR="0080424E" w:rsidRDefault="00FF3F6C" w:rsidP="00FF3F6C">
            <w:r>
              <w:t>Right-of-way dedication should not be required in overlay. This is an exaction that should be a condition of zoning consented to by developers on a case-by-case basis</w:t>
            </w:r>
          </w:p>
        </w:tc>
        <w:tc>
          <w:tcPr>
            <w:tcW w:w="2695" w:type="dxa"/>
          </w:tcPr>
          <w:p w:rsidR="0080424E" w:rsidRDefault="0080424E"/>
        </w:tc>
      </w:tr>
      <w:tr w:rsidR="00FC6A75" w:rsidTr="00B76816">
        <w:trPr>
          <w:trHeight w:val="296"/>
        </w:trPr>
        <w:tc>
          <w:tcPr>
            <w:tcW w:w="2191" w:type="dxa"/>
          </w:tcPr>
          <w:p w:rsidR="00FC6A75" w:rsidRDefault="00FC6A75">
            <w:r>
              <w:t>(d)(3</w:t>
            </w:r>
            <w:proofErr w:type="gramStart"/>
            <w:r>
              <w:t>)a</w:t>
            </w:r>
            <w:proofErr w:type="gramEnd"/>
            <w:r>
              <w:t>.</w:t>
            </w:r>
          </w:p>
          <w:p w:rsidR="00FC6A75" w:rsidRDefault="00FC6A75">
            <w:r>
              <w:t>Major Façade Materials (pg.24)</w:t>
            </w:r>
          </w:p>
        </w:tc>
        <w:tc>
          <w:tcPr>
            <w:tcW w:w="4464" w:type="dxa"/>
          </w:tcPr>
          <w:p w:rsidR="00FC6A75" w:rsidRDefault="00686892" w:rsidP="00FF3F6C">
            <w:r>
              <w:t>Restricting 80% of each façade to brick, stone or glass may be too limiting</w:t>
            </w:r>
            <w:r w:rsidR="00D47D46">
              <w:t>. Many high-quality mid-rise developments utilize cement-based stucco and wood lap in construction</w:t>
            </w:r>
          </w:p>
        </w:tc>
        <w:tc>
          <w:tcPr>
            <w:tcW w:w="2695" w:type="dxa"/>
          </w:tcPr>
          <w:p w:rsidR="00FC6A75" w:rsidRDefault="00FC6A75"/>
        </w:tc>
      </w:tr>
      <w:tr w:rsidR="00FC6A75" w:rsidTr="00B76816">
        <w:trPr>
          <w:trHeight w:val="296"/>
        </w:trPr>
        <w:tc>
          <w:tcPr>
            <w:tcW w:w="2191" w:type="dxa"/>
          </w:tcPr>
          <w:p w:rsidR="00FC6A75" w:rsidRDefault="00D47D46">
            <w:r>
              <w:t>(d)(8) Fueling Stations</w:t>
            </w:r>
          </w:p>
        </w:tc>
        <w:tc>
          <w:tcPr>
            <w:tcW w:w="4464" w:type="dxa"/>
          </w:tcPr>
          <w:p w:rsidR="00FC6A75" w:rsidRDefault="00D47D46" w:rsidP="00FF3F6C">
            <w:r>
              <w:t>Why are these standards included when fueling stations are permitted in district uses?</w:t>
            </w:r>
          </w:p>
          <w:p w:rsidR="00D47D46" w:rsidRDefault="00D47D46" w:rsidP="00FF3F6C">
            <w:r>
              <w:t>Limiting parking and fuel areas to 50% of frontage may be unreasonable</w:t>
            </w:r>
          </w:p>
        </w:tc>
        <w:tc>
          <w:tcPr>
            <w:tcW w:w="2695" w:type="dxa"/>
          </w:tcPr>
          <w:p w:rsidR="00FC6A75" w:rsidRDefault="00FC6A75"/>
        </w:tc>
      </w:tr>
      <w:tr w:rsidR="00FC6A75" w:rsidTr="00B76816">
        <w:trPr>
          <w:trHeight w:val="296"/>
        </w:trPr>
        <w:tc>
          <w:tcPr>
            <w:tcW w:w="2191" w:type="dxa"/>
          </w:tcPr>
          <w:p w:rsidR="00FC6A75" w:rsidRDefault="00D47D46">
            <w:r>
              <w:t>(e) Sustainability Measures (pg.30-32)</w:t>
            </w:r>
          </w:p>
        </w:tc>
        <w:tc>
          <w:tcPr>
            <w:tcW w:w="4464" w:type="dxa"/>
          </w:tcPr>
          <w:p w:rsidR="00FC6A75" w:rsidRDefault="00D47D46" w:rsidP="00685A4B">
            <w:r>
              <w:t xml:space="preserve">Sustainability measures should be tied to development incentives. There </w:t>
            </w:r>
            <w:r w:rsidR="00685A4B">
              <w:t xml:space="preserve">also </w:t>
            </w:r>
            <w:r>
              <w:t xml:space="preserve">does not appear to be any </w:t>
            </w:r>
            <w:r w:rsidR="00685A4B">
              <w:t>motivation</w:t>
            </w:r>
            <w:r>
              <w:t xml:space="preserve"> for builders to go beyond minimum requirements</w:t>
            </w:r>
          </w:p>
        </w:tc>
        <w:tc>
          <w:tcPr>
            <w:tcW w:w="2695" w:type="dxa"/>
          </w:tcPr>
          <w:p w:rsidR="00FC6A75" w:rsidRDefault="00FC6A75"/>
        </w:tc>
      </w:tr>
      <w:tr w:rsidR="00FC6A75" w:rsidTr="00B76816">
        <w:trPr>
          <w:trHeight w:val="296"/>
        </w:trPr>
        <w:tc>
          <w:tcPr>
            <w:tcW w:w="2191" w:type="dxa"/>
          </w:tcPr>
          <w:p w:rsidR="00FC6A75" w:rsidRDefault="00685A4B">
            <w:r>
              <w:t>(e)(2)c. 7 Points Minimum (pg.31)</w:t>
            </w:r>
          </w:p>
        </w:tc>
        <w:tc>
          <w:tcPr>
            <w:tcW w:w="4464" w:type="dxa"/>
          </w:tcPr>
          <w:p w:rsidR="00FC6A75" w:rsidRDefault="00685A4B" w:rsidP="00FF3F6C">
            <w:r>
              <w:t>Did this requirement only apply to redevelopment/renovations in earlier drafts? What standards are being used to assign weight (points) to various measures?</w:t>
            </w:r>
          </w:p>
        </w:tc>
        <w:tc>
          <w:tcPr>
            <w:tcW w:w="2695" w:type="dxa"/>
          </w:tcPr>
          <w:p w:rsidR="00FC6A75" w:rsidRDefault="00FC6A75"/>
        </w:tc>
      </w:tr>
      <w:tr w:rsidR="00FC6A75" w:rsidTr="00B76816">
        <w:trPr>
          <w:trHeight w:val="296"/>
        </w:trPr>
        <w:tc>
          <w:tcPr>
            <w:tcW w:w="2191" w:type="dxa"/>
          </w:tcPr>
          <w:p w:rsidR="00FC6A75" w:rsidRDefault="00685A4B">
            <w:r>
              <w:lastRenderedPageBreak/>
              <w:t>(e)(4)j. Transportation Access Measure (pg. 32)</w:t>
            </w:r>
          </w:p>
        </w:tc>
        <w:tc>
          <w:tcPr>
            <w:tcW w:w="4464" w:type="dxa"/>
          </w:tcPr>
          <w:p w:rsidR="00FC6A75" w:rsidRDefault="00685A4B" w:rsidP="00FF3F6C">
            <w:r>
              <w:t>This measure should include points for sites located within a quarter and/or half mile of the MARTA station</w:t>
            </w:r>
          </w:p>
        </w:tc>
        <w:tc>
          <w:tcPr>
            <w:tcW w:w="2695" w:type="dxa"/>
          </w:tcPr>
          <w:p w:rsidR="00FC6A75" w:rsidRDefault="00FC6A75"/>
        </w:tc>
      </w:tr>
      <w:tr w:rsidR="00685A4B" w:rsidTr="00002272">
        <w:trPr>
          <w:trHeight w:val="296"/>
        </w:trPr>
        <w:tc>
          <w:tcPr>
            <w:tcW w:w="9350" w:type="dxa"/>
            <w:gridSpan w:val="3"/>
            <w:shd w:val="clear" w:color="auto" w:fill="2E74B5" w:themeFill="accent1" w:themeFillShade="BF"/>
          </w:tcPr>
          <w:p w:rsidR="00685A4B" w:rsidRPr="00A262D7" w:rsidRDefault="00685A4B">
            <w:pPr>
              <w:rPr>
                <w:b/>
              </w:rPr>
            </w:pPr>
            <w:r w:rsidRPr="00002272">
              <w:rPr>
                <w:b/>
                <w:color w:val="FFFFFF" w:themeColor="background1"/>
              </w:rPr>
              <w:t>Perimeter Center Districts</w:t>
            </w:r>
          </w:p>
        </w:tc>
      </w:tr>
      <w:tr w:rsidR="00B76816" w:rsidTr="00B76816">
        <w:trPr>
          <w:trHeight w:val="296"/>
        </w:trPr>
        <w:tc>
          <w:tcPr>
            <w:tcW w:w="2191" w:type="dxa"/>
          </w:tcPr>
          <w:p w:rsidR="00B76816" w:rsidRPr="00B76816" w:rsidRDefault="00B76816" w:rsidP="00B76816">
            <w:pPr>
              <w:rPr>
                <w:i/>
                <w:color w:val="767171" w:themeColor="background2" w:themeShade="80"/>
              </w:rPr>
            </w:pPr>
            <w:r w:rsidRPr="00B76816">
              <w:rPr>
                <w:i/>
                <w:color w:val="767171" w:themeColor="background2" w:themeShade="80"/>
              </w:rPr>
              <w:t xml:space="preserve">Section </w:t>
            </w:r>
          </w:p>
        </w:tc>
        <w:tc>
          <w:tcPr>
            <w:tcW w:w="4464" w:type="dxa"/>
          </w:tcPr>
          <w:p w:rsidR="00B76816" w:rsidRPr="00B76816" w:rsidRDefault="00B76816" w:rsidP="00B76816">
            <w:pPr>
              <w:rPr>
                <w:i/>
                <w:color w:val="767171" w:themeColor="background2" w:themeShade="80"/>
              </w:rPr>
            </w:pPr>
            <w:r w:rsidRPr="00B76816">
              <w:rPr>
                <w:i/>
                <w:color w:val="767171" w:themeColor="background2" w:themeShade="80"/>
              </w:rPr>
              <w:t>CQG Comment</w:t>
            </w:r>
          </w:p>
        </w:tc>
        <w:tc>
          <w:tcPr>
            <w:tcW w:w="2695" w:type="dxa"/>
          </w:tcPr>
          <w:p w:rsidR="00B76816" w:rsidRPr="00B76816" w:rsidRDefault="00B76816" w:rsidP="00B76816">
            <w:pPr>
              <w:rPr>
                <w:i/>
                <w:color w:val="767171" w:themeColor="background2" w:themeShade="80"/>
              </w:rPr>
            </w:pPr>
            <w:r w:rsidRPr="00B76816">
              <w:rPr>
                <w:i/>
                <w:color w:val="767171" w:themeColor="background2" w:themeShade="80"/>
              </w:rPr>
              <w:t>Additional Comments/ Feedback</w:t>
            </w:r>
          </w:p>
        </w:tc>
      </w:tr>
      <w:tr w:rsidR="00685A4B" w:rsidTr="00B76816">
        <w:trPr>
          <w:trHeight w:val="296"/>
        </w:trPr>
        <w:tc>
          <w:tcPr>
            <w:tcW w:w="2191" w:type="dxa"/>
          </w:tcPr>
          <w:p w:rsidR="00685A4B" w:rsidRDefault="00685A4B" w:rsidP="00685A4B">
            <w:r>
              <w:t>(b)(5) Relief (pg.7)</w:t>
            </w:r>
          </w:p>
        </w:tc>
        <w:tc>
          <w:tcPr>
            <w:tcW w:w="4464" w:type="dxa"/>
          </w:tcPr>
          <w:p w:rsidR="00685A4B" w:rsidRDefault="00685A4B" w:rsidP="00685A4B">
            <w:r>
              <w:t>Similarly to the Overlay, there is not enough administration relief here. The Community Development Director should have the authority to make exceptions on all standards 10 to 20%.</w:t>
            </w:r>
          </w:p>
        </w:tc>
        <w:tc>
          <w:tcPr>
            <w:tcW w:w="2695" w:type="dxa"/>
          </w:tcPr>
          <w:p w:rsidR="00685A4B" w:rsidRDefault="00685A4B" w:rsidP="00685A4B"/>
        </w:tc>
      </w:tr>
      <w:tr w:rsidR="00685A4B" w:rsidTr="00B76816">
        <w:trPr>
          <w:trHeight w:val="296"/>
        </w:trPr>
        <w:tc>
          <w:tcPr>
            <w:tcW w:w="2191" w:type="dxa"/>
          </w:tcPr>
          <w:p w:rsidR="00685A4B" w:rsidRDefault="00685A4B" w:rsidP="00685A4B">
            <w:r>
              <w:t>(a)(5) New Streets and Blocks (Regulating Map)</w:t>
            </w:r>
          </w:p>
          <w:p w:rsidR="00685A4B" w:rsidRDefault="00685A4B" w:rsidP="00685A4B">
            <w:r>
              <w:t>(pg. 10)</w:t>
            </w:r>
          </w:p>
        </w:tc>
        <w:tc>
          <w:tcPr>
            <w:tcW w:w="4464" w:type="dxa"/>
          </w:tcPr>
          <w:p w:rsidR="00685A4B" w:rsidRDefault="0079387A" w:rsidP="00685A4B">
            <w:r>
              <w:t>How were the “New Streets” identified? Many are splitting parcels w</w:t>
            </w:r>
          </w:p>
        </w:tc>
        <w:tc>
          <w:tcPr>
            <w:tcW w:w="2695" w:type="dxa"/>
          </w:tcPr>
          <w:p w:rsidR="00685A4B" w:rsidRDefault="00685A4B" w:rsidP="00685A4B"/>
        </w:tc>
      </w:tr>
      <w:tr w:rsidR="00685A4B" w:rsidTr="00B76816">
        <w:trPr>
          <w:trHeight w:val="296"/>
        </w:trPr>
        <w:tc>
          <w:tcPr>
            <w:tcW w:w="2191" w:type="dxa"/>
          </w:tcPr>
          <w:p w:rsidR="00A262D7" w:rsidRDefault="00D72489" w:rsidP="00685A4B">
            <w:r>
              <w:t>(b) PC-1 District Requirements</w:t>
            </w:r>
            <w:r w:rsidR="00A262D7">
              <w:t xml:space="preserve"> </w:t>
            </w:r>
          </w:p>
          <w:p w:rsidR="00685A4B" w:rsidRDefault="00A262D7" w:rsidP="00685A4B">
            <w:r>
              <w:t>(pg. 12)</w:t>
            </w:r>
          </w:p>
        </w:tc>
        <w:tc>
          <w:tcPr>
            <w:tcW w:w="4464" w:type="dxa"/>
          </w:tcPr>
          <w:p w:rsidR="00685A4B" w:rsidRDefault="00D72489" w:rsidP="00685A4B">
            <w:r>
              <w:t>Maximum height should be increased to 40 stories to be consistent with current Perimeter Center Skyline</w:t>
            </w:r>
          </w:p>
        </w:tc>
        <w:tc>
          <w:tcPr>
            <w:tcW w:w="2695" w:type="dxa"/>
          </w:tcPr>
          <w:p w:rsidR="00685A4B" w:rsidRDefault="00685A4B" w:rsidP="00685A4B"/>
        </w:tc>
      </w:tr>
      <w:tr w:rsidR="00685A4B" w:rsidTr="00B76816">
        <w:trPr>
          <w:trHeight w:val="296"/>
        </w:trPr>
        <w:tc>
          <w:tcPr>
            <w:tcW w:w="2191" w:type="dxa"/>
          </w:tcPr>
          <w:p w:rsidR="00A262D7" w:rsidRDefault="00D72489" w:rsidP="00685A4B">
            <w:r>
              <w:t>(c) PC-2 District Requirements</w:t>
            </w:r>
          </w:p>
          <w:p w:rsidR="00685A4B" w:rsidRDefault="00A262D7" w:rsidP="00685A4B">
            <w:r>
              <w:t>(pg. 13)</w:t>
            </w:r>
          </w:p>
        </w:tc>
        <w:tc>
          <w:tcPr>
            <w:tcW w:w="4464" w:type="dxa"/>
          </w:tcPr>
          <w:p w:rsidR="00685A4B" w:rsidRDefault="00D72489" w:rsidP="00685A4B">
            <w:r>
              <w:t>Maximum height should be increased to 20 stories</w:t>
            </w:r>
          </w:p>
        </w:tc>
        <w:tc>
          <w:tcPr>
            <w:tcW w:w="2695" w:type="dxa"/>
          </w:tcPr>
          <w:p w:rsidR="00685A4B" w:rsidRDefault="00685A4B" w:rsidP="00685A4B"/>
        </w:tc>
      </w:tr>
      <w:tr w:rsidR="0079387A" w:rsidTr="00B76816">
        <w:trPr>
          <w:trHeight w:val="296"/>
        </w:trPr>
        <w:tc>
          <w:tcPr>
            <w:tcW w:w="2191" w:type="dxa"/>
          </w:tcPr>
          <w:p w:rsidR="0079387A" w:rsidRDefault="00001705" w:rsidP="00685A4B">
            <w:r>
              <w:t>(f) Uses (pg. 17)</w:t>
            </w:r>
          </w:p>
        </w:tc>
        <w:tc>
          <w:tcPr>
            <w:tcW w:w="4464" w:type="dxa"/>
          </w:tcPr>
          <w:p w:rsidR="0079387A" w:rsidRDefault="00001705" w:rsidP="00685A4B">
            <w:r>
              <w:t>CQG Supports the inclusion of owner-occupied and Age-restricted multi-unit residential by-right in PC-1 district to achieve “live,</w:t>
            </w:r>
            <w:r w:rsidR="003A01BE">
              <w:t xml:space="preserve"> </w:t>
            </w:r>
            <w:r>
              <w:t>work,</w:t>
            </w:r>
            <w:r w:rsidR="003A01BE">
              <w:t xml:space="preserve"> </w:t>
            </w:r>
            <w:r>
              <w:t>play” community</w:t>
            </w:r>
          </w:p>
        </w:tc>
        <w:tc>
          <w:tcPr>
            <w:tcW w:w="2695" w:type="dxa"/>
          </w:tcPr>
          <w:p w:rsidR="0079387A" w:rsidRDefault="0079387A" w:rsidP="00685A4B"/>
        </w:tc>
      </w:tr>
      <w:tr w:rsidR="0079387A" w:rsidTr="00B76816">
        <w:trPr>
          <w:trHeight w:val="296"/>
        </w:trPr>
        <w:tc>
          <w:tcPr>
            <w:tcW w:w="2191" w:type="dxa"/>
          </w:tcPr>
          <w:p w:rsidR="0079387A" w:rsidRDefault="00001705" w:rsidP="00685A4B">
            <w:r>
              <w:t>(b)(2)b.12 – Ground Story Uses</w:t>
            </w:r>
            <w:r w:rsidR="00A262D7">
              <w:t xml:space="preserve"> (pg. 26)</w:t>
            </w:r>
          </w:p>
        </w:tc>
        <w:tc>
          <w:tcPr>
            <w:tcW w:w="4464" w:type="dxa"/>
          </w:tcPr>
          <w:p w:rsidR="0079387A" w:rsidRDefault="00001705" w:rsidP="00685A4B">
            <w:r>
              <w:t xml:space="preserve">What is being accomplished by </w:t>
            </w:r>
            <w:r w:rsidR="00A262D7">
              <w:t>limiting to “office category; retail sales and service uses limited to 25% of gross floor area</w:t>
            </w:r>
            <w:proofErr w:type="gramStart"/>
            <w:r w:rsidR="00A262D7">
              <w:t>” ?</w:t>
            </w:r>
            <w:proofErr w:type="gramEnd"/>
          </w:p>
        </w:tc>
        <w:tc>
          <w:tcPr>
            <w:tcW w:w="2695" w:type="dxa"/>
          </w:tcPr>
          <w:p w:rsidR="0079387A" w:rsidRDefault="0079387A" w:rsidP="00685A4B"/>
        </w:tc>
      </w:tr>
      <w:tr w:rsidR="0079387A" w:rsidTr="00B76816">
        <w:trPr>
          <w:trHeight w:val="296"/>
        </w:trPr>
        <w:tc>
          <w:tcPr>
            <w:tcW w:w="2191" w:type="dxa"/>
          </w:tcPr>
          <w:p w:rsidR="0079387A" w:rsidRDefault="00A262D7" w:rsidP="00685A4B">
            <w:r>
              <w:t>(b)(2)c.17 Required Number of Street Entrances (pg. 28)</w:t>
            </w:r>
          </w:p>
        </w:tc>
        <w:tc>
          <w:tcPr>
            <w:tcW w:w="4464" w:type="dxa"/>
          </w:tcPr>
          <w:p w:rsidR="0079387A" w:rsidRDefault="00A262D7" w:rsidP="00685A4B">
            <w:r>
              <w:t>Requiring 4 of every 5 townhomes to front on street is contrary to how many townhome developments are designed, and is driven by the shape and depth of the development parcel (many developments are designed with townhomes fronting a community greenspace).</w:t>
            </w:r>
          </w:p>
        </w:tc>
        <w:tc>
          <w:tcPr>
            <w:tcW w:w="2695" w:type="dxa"/>
          </w:tcPr>
          <w:p w:rsidR="0079387A" w:rsidRDefault="0079387A" w:rsidP="00685A4B"/>
        </w:tc>
      </w:tr>
      <w:tr w:rsidR="0079387A" w:rsidTr="00B76816">
        <w:trPr>
          <w:trHeight w:val="296"/>
        </w:trPr>
        <w:tc>
          <w:tcPr>
            <w:tcW w:w="2191" w:type="dxa"/>
          </w:tcPr>
          <w:p w:rsidR="0079387A" w:rsidRDefault="00A262D7" w:rsidP="00685A4B">
            <w:r>
              <w:t>(b)(2)d.3 Detached House – Parking Along Frontage  (pg.30)</w:t>
            </w:r>
          </w:p>
        </w:tc>
        <w:tc>
          <w:tcPr>
            <w:tcW w:w="4464" w:type="dxa"/>
          </w:tcPr>
          <w:p w:rsidR="0079387A" w:rsidRDefault="00A262D7" w:rsidP="00685A4B">
            <w:r>
              <w:t>Parking along frontage should be permitted (with alley access preferred) along primary streets, as it is along parkway and Secondary street frontages.</w:t>
            </w:r>
          </w:p>
        </w:tc>
        <w:tc>
          <w:tcPr>
            <w:tcW w:w="2695" w:type="dxa"/>
          </w:tcPr>
          <w:p w:rsidR="0079387A" w:rsidRDefault="0079387A" w:rsidP="00685A4B"/>
        </w:tc>
      </w:tr>
      <w:tr w:rsidR="0079387A" w:rsidTr="00B76816">
        <w:trPr>
          <w:trHeight w:val="296"/>
        </w:trPr>
        <w:tc>
          <w:tcPr>
            <w:tcW w:w="2191" w:type="dxa"/>
          </w:tcPr>
          <w:p w:rsidR="0079387A" w:rsidRDefault="00A262D7" w:rsidP="00685A4B">
            <w:r>
              <w:t>27-106 Open Space Types (pg. 40)</w:t>
            </w:r>
          </w:p>
        </w:tc>
        <w:tc>
          <w:tcPr>
            <w:tcW w:w="4464" w:type="dxa"/>
          </w:tcPr>
          <w:p w:rsidR="0079387A" w:rsidRDefault="00A262D7" w:rsidP="00685A4B">
            <w:r>
              <w:t>Preserving existing open space</w:t>
            </w:r>
            <w:r w:rsidR="0007159E">
              <w:t xml:space="preserve"> </w:t>
            </w:r>
            <w:r>
              <w:t>should count towards the minimum open space requirement. Why was this removed?</w:t>
            </w:r>
          </w:p>
        </w:tc>
        <w:tc>
          <w:tcPr>
            <w:tcW w:w="2695" w:type="dxa"/>
          </w:tcPr>
          <w:p w:rsidR="0079387A" w:rsidRDefault="0079387A" w:rsidP="00685A4B"/>
        </w:tc>
      </w:tr>
      <w:tr w:rsidR="00A262D7" w:rsidTr="00B76816">
        <w:trPr>
          <w:trHeight w:val="296"/>
        </w:trPr>
        <w:tc>
          <w:tcPr>
            <w:tcW w:w="2191" w:type="dxa"/>
          </w:tcPr>
          <w:p w:rsidR="00A262D7" w:rsidRDefault="00A262D7" w:rsidP="00685A4B">
            <w:r>
              <w:t xml:space="preserve">(b)(4) Fee-in-lieu </w:t>
            </w:r>
          </w:p>
          <w:p w:rsidR="00A262D7" w:rsidRDefault="00A262D7" w:rsidP="00685A4B">
            <w:r>
              <w:t>(pg. 40)</w:t>
            </w:r>
          </w:p>
        </w:tc>
        <w:tc>
          <w:tcPr>
            <w:tcW w:w="4464" w:type="dxa"/>
          </w:tcPr>
          <w:p w:rsidR="00A262D7" w:rsidRDefault="00A262D7" w:rsidP="00685A4B">
            <w:r>
              <w:t>What is the calculation for open space fee in lieu?</w:t>
            </w:r>
          </w:p>
        </w:tc>
        <w:tc>
          <w:tcPr>
            <w:tcW w:w="2695" w:type="dxa"/>
          </w:tcPr>
          <w:p w:rsidR="00A262D7" w:rsidRDefault="00A262D7" w:rsidP="00685A4B"/>
        </w:tc>
      </w:tr>
    </w:tbl>
    <w:p w:rsidR="00A00889" w:rsidRDefault="00257F84"/>
    <w:sectPr w:rsidR="00A00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15C8E"/>
    <w:multiLevelType w:val="hybridMultilevel"/>
    <w:tmpl w:val="F5B00DD6"/>
    <w:lvl w:ilvl="0" w:tplc="3D4A8E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805DD0"/>
    <w:multiLevelType w:val="hybridMultilevel"/>
    <w:tmpl w:val="7AB2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4E"/>
    <w:rsid w:val="00001705"/>
    <w:rsid w:val="00002272"/>
    <w:rsid w:val="00055B43"/>
    <w:rsid w:val="0007159E"/>
    <w:rsid w:val="001E6491"/>
    <w:rsid w:val="00257F84"/>
    <w:rsid w:val="002C38EC"/>
    <w:rsid w:val="003A01BE"/>
    <w:rsid w:val="003B6CF4"/>
    <w:rsid w:val="00685A4B"/>
    <w:rsid w:val="00686892"/>
    <w:rsid w:val="0079387A"/>
    <w:rsid w:val="0080424E"/>
    <w:rsid w:val="00A262D7"/>
    <w:rsid w:val="00B6070A"/>
    <w:rsid w:val="00B76816"/>
    <w:rsid w:val="00D47D46"/>
    <w:rsid w:val="00D72489"/>
    <w:rsid w:val="00DC43D2"/>
    <w:rsid w:val="00FC6A75"/>
    <w:rsid w:val="00FF3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F120E-2BDC-4AD7-A57F-B0D5435B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Hagood</dc:creator>
  <cp:keywords/>
  <dc:description/>
  <cp:lastModifiedBy>Chelsea Hagood</cp:lastModifiedBy>
  <cp:revision>6</cp:revision>
  <dcterms:created xsi:type="dcterms:W3CDTF">2016-02-01T13:53:00Z</dcterms:created>
  <dcterms:modified xsi:type="dcterms:W3CDTF">2016-02-17T21:40:00Z</dcterms:modified>
</cp:coreProperties>
</file>