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C9A23" w14:textId="5F798FBC" w:rsidR="00083F29" w:rsidRPr="00083F29" w:rsidRDefault="008912B1" w:rsidP="00083F29">
      <w:pPr>
        <w:rPr>
          <w:rFonts w:ascii="Calibri" w:hAnsi="Calibri"/>
        </w:rPr>
      </w:pPr>
      <w:r>
        <w:rPr>
          <w:rFonts w:ascii="Calibri" w:hAnsi="Calibri"/>
        </w:rPr>
        <w:t xml:space="preserve">May </w:t>
      </w:r>
      <w:r w:rsidR="008E294F">
        <w:rPr>
          <w:rFonts w:ascii="Calibri" w:hAnsi="Calibri"/>
        </w:rPr>
        <w:t>29</w:t>
      </w:r>
      <w:r w:rsidR="00083F29" w:rsidRPr="00083F29">
        <w:rPr>
          <w:rFonts w:ascii="Calibri" w:hAnsi="Calibri"/>
        </w:rPr>
        <w:t>, 2015</w:t>
      </w:r>
    </w:p>
    <w:p w14:paraId="59E21B43" w14:textId="77777777" w:rsidR="00083F29" w:rsidRPr="00083F29" w:rsidRDefault="00083F29" w:rsidP="00083F29">
      <w:pPr>
        <w:rPr>
          <w:rFonts w:ascii="Calibri" w:hAnsi="Calibri"/>
        </w:rPr>
      </w:pPr>
    </w:p>
    <w:p w14:paraId="523CBE6B" w14:textId="79E69716" w:rsidR="00083F29" w:rsidRPr="00083F29" w:rsidRDefault="00083F29" w:rsidP="00083F29">
      <w:pPr>
        <w:rPr>
          <w:rFonts w:ascii="Calibri" w:hAnsi="Calibri"/>
        </w:rPr>
      </w:pPr>
      <w:r w:rsidRPr="00083F29">
        <w:rPr>
          <w:rFonts w:ascii="Calibri" w:hAnsi="Calibri"/>
        </w:rPr>
        <w:t xml:space="preserve">Submitted online at </w:t>
      </w:r>
      <w:r w:rsidR="008E294F" w:rsidRPr="008E294F">
        <w:rPr>
          <w:rFonts w:ascii="Calibri" w:hAnsi="Calibri"/>
        </w:rPr>
        <w:t>https://www.federalregister.gov/articles/2015/03/30/2015-06685/medicare-and-medicaid-programs-electronic-health-record-incentive-program-stage-3</w:t>
      </w:r>
    </w:p>
    <w:p w14:paraId="7F61E9FB" w14:textId="77777777" w:rsidR="00083F29" w:rsidRPr="00083F29" w:rsidRDefault="00083F29" w:rsidP="00083F29">
      <w:pPr>
        <w:rPr>
          <w:rFonts w:ascii="Calibri" w:hAnsi="Calibri"/>
        </w:rPr>
      </w:pPr>
    </w:p>
    <w:p w14:paraId="4D857698" w14:textId="73376EB3" w:rsidR="00A70344" w:rsidRDefault="00A70344" w:rsidP="00083F29">
      <w:pPr>
        <w:rPr>
          <w:rFonts w:asciiTheme="minorHAnsi" w:hAnsiTheme="minorHAnsi" w:cstheme="minorHAnsi"/>
        </w:rPr>
      </w:pPr>
      <w:r>
        <w:rPr>
          <w:rFonts w:asciiTheme="minorHAnsi" w:hAnsiTheme="minorHAnsi" w:cstheme="minorHAnsi"/>
        </w:rPr>
        <w:t>Andrew Slavitt</w:t>
      </w:r>
    </w:p>
    <w:p w14:paraId="2EE869FA" w14:textId="77777777" w:rsidR="00A70344" w:rsidRDefault="00A70344" w:rsidP="00083F29">
      <w:pPr>
        <w:rPr>
          <w:rFonts w:asciiTheme="minorHAnsi" w:hAnsiTheme="minorHAnsi" w:cstheme="minorHAnsi"/>
        </w:rPr>
      </w:pPr>
      <w:r>
        <w:rPr>
          <w:rFonts w:asciiTheme="minorHAnsi" w:hAnsiTheme="minorHAnsi" w:cstheme="minorHAnsi"/>
        </w:rPr>
        <w:t>Acting Administrator</w:t>
      </w:r>
    </w:p>
    <w:p w14:paraId="5D6ADFD1" w14:textId="25367B22" w:rsidR="008E294F" w:rsidRDefault="008E294F" w:rsidP="00083F29">
      <w:pPr>
        <w:rPr>
          <w:rFonts w:asciiTheme="minorHAnsi" w:hAnsiTheme="minorHAnsi" w:cstheme="minorHAnsi"/>
        </w:rPr>
      </w:pPr>
      <w:r w:rsidRPr="008E294F">
        <w:rPr>
          <w:rFonts w:asciiTheme="minorHAnsi" w:hAnsiTheme="minorHAnsi" w:cstheme="minorHAnsi"/>
        </w:rPr>
        <w:t xml:space="preserve">Centers for Medicare &amp; Medicaid Services </w:t>
      </w:r>
    </w:p>
    <w:p w14:paraId="0EAEF1FC" w14:textId="77777777" w:rsidR="008E294F" w:rsidRDefault="008E294F" w:rsidP="00083F29">
      <w:pPr>
        <w:rPr>
          <w:rFonts w:asciiTheme="minorHAnsi" w:hAnsiTheme="minorHAnsi" w:cstheme="minorHAnsi"/>
        </w:rPr>
      </w:pPr>
      <w:r w:rsidRPr="008E294F">
        <w:rPr>
          <w:rFonts w:asciiTheme="minorHAnsi" w:hAnsiTheme="minorHAnsi" w:cstheme="minorHAnsi"/>
        </w:rPr>
        <w:t xml:space="preserve">Department of Health and Human Services </w:t>
      </w:r>
    </w:p>
    <w:p w14:paraId="736503CA" w14:textId="77777777" w:rsidR="008E294F" w:rsidRDefault="008E294F" w:rsidP="00083F29">
      <w:pPr>
        <w:rPr>
          <w:rFonts w:asciiTheme="minorHAnsi" w:hAnsiTheme="minorHAnsi" w:cstheme="minorHAnsi"/>
        </w:rPr>
      </w:pPr>
      <w:r w:rsidRPr="008E294F">
        <w:rPr>
          <w:rFonts w:asciiTheme="minorHAnsi" w:hAnsiTheme="minorHAnsi" w:cstheme="minorHAnsi"/>
        </w:rPr>
        <w:t xml:space="preserve">Attention: CMS-3310-P </w:t>
      </w:r>
    </w:p>
    <w:p w14:paraId="24C90F12" w14:textId="77777777" w:rsidR="008E294F" w:rsidRDefault="008E294F" w:rsidP="00083F29">
      <w:pPr>
        <w:rPr>
          <w:rFonts w:asciiTheme="minorHAnsi" w:hAnsiTheme="minorHAnsi" w:cstheme="minorHAnsi"/>
        </w:rPr>
      </w:pPr>
      <w:r w:rsidRPr="008E294F">
        <w:rPr>
          <w:rFonts w:asciiTheme="minorHAnsi" w:hAnsiTheme="minorHAnsi" w:cstheme="minorHAnsi"/>
        </w:rPr>
        <w:t xml:space="preserve">P.O. Box 8013 </w:t>
      </w:r>
    </w:p>
    <w:p w14:paraId="4B063C03" w14:textId="14054C41" w:rsidR="00083F29" w:rsidRPr="00083F29" w:rsidRDefault="008E294F" w:rsidP="00083F29">
      <w:pPr>
        <w:rPr>
          <w:rFonts w:ascii="Calibri" w:hAnsi="Calibri"/>
        </w:rPr>
      </w:pPr>
      <w:r w:rsidRPr="008E294F">
        <w:rPr>
          <w:rFonts w:asciiTheme="minorHAnsi" w:hAnsiTheme="minorHAnsi" w:cstheme="minorHAnsi"/>
        </w:rPr>
        <w:t>Baltimore, MD 21244-8013</w:t>
      </w:r>
    </w:p>
    <w:p w14:paraId="49392CEF" w14:textId="77777777" w:rsidR="00083F29" w:rsidRPr="00083F29" w:rsidRDefault="00083F29" w:rsidP="00083F29">
      <w:pPr>
        <w:rPr>
          <w:rFonts w:ascii="Calibri" w:hAnsi="Calibri"/>
        </w:rPr>
      </w:pPr>
    </w:p>
    <w:p w14:paraId="317DB19B" w14:textId="02AF4AA9" w:rsidR="00083F29" w:rsidRPr="00A70344" w:rsidRDefault="00083F29" w:rsidP="00083F29">
      <w:pPr>
        <w:rPr>
          <w:rFonts w:ascii="Calibri" w:hAnsi="Calibri"/>
          <w:b/>
        </w:rPr>
      </w:pPr>
      <w:r w:rsidRPr="00A70344">
        <w:rPr>
          <w:rFonts w:ascii="Calibri" w:hAnsi="Calibri"/>
          <w:b/>
        </w:rPr>
        <w:t xml:space="preserve">Public Comment on </w:t>
      </w:r>
      <w:r w:rsidR="008E294F" w:rsidRPr="00A70344">
        <w:rPr>
          <w:rFonts w:ascii="Calibri" w:hAnsi="Calibri"/>
          <w:b/>
        </w:rPr>
        <w:t xml:space="preserve">Stage 3 Meaningful Use proposed </w:t>
      </w:r>
      <w:proofErr w:type="gramStart"/>
      <w:r w:rsidR="008E294F" w:rsidRPr="00A70344">
        <w:rPr>
          <w:rFonts w:ascii="Calibri" w:hAnsi="Calibri"/>
          <w:b/>
        </w:rPr>
        <w:t>rule</w:t>
      </w:r>
      <w:proofErr w:type="gramEnd"/>
      <w:r w:rsidR="008E294F" w:rsidRPr="00A70344">
        <w:rPr>
          <w:rFonts w:ascii="Calibri" w:hAnsi="Calibri"/>
          <w:b/>
        </w:rPr>
        <w:t xml:space="preserve"> </w:t>
      </w:r>
      <w:r w:rsidR="008E294F" w:rsidRPr="00A70344">
        <w:rPr>
          <w:rFonts w:asciiTheme="minorHAnsi" w:hAnsiTheme="minorHAnsi" w:cstheme="minorHAnsi"/>
          <w:b/>
        </w:rPr>
        <w:t>CMS-3310-P, published March 30, 2015</w:t>
      </w:r>
      <w:r w:rsidRPr="00A70344">
        <w:rPr>
          <w:rFonts w:ascii="Calibri" w:hAnsi="Calibri"/>
          <w:b/>
        </w:rPr>
        <w:t xml:space="preserve"> </w:t>
      </w:r>
    </w:p>
    <w:p w14:paraId="3E13468C" w14:textId="77777777" w:rsidR="00083F29" w:rsidRPr="00083F29" w:rsidRDefault="00083F29" w:rsidP="00083F29">
      <w:pPr>
        <w:rPr>
          <w:rFonts w:ascii="Calibri" w:hAnsi="Calibri"/>
        </w:rPr>
      </w:pPr>
    </w:p>
    <w:p w14:paraId="04864E64" w14:textId="219898BE" w:rsidR="00083F29" w:rsidRPr="00083F29" w:rsidRDefault="00083F29" w:rsidP="00083F29">
      <w:pPr>
        <w:rPr>
          <w:rFonts w:ascii="Calibri" w:hAnsi="Calibri"/>
        </w:rPr>
      </w:pPr>
      <w:r w:rsidRPr="00083F29">
        <w:rPr>
          <w:rFonts w:ascii="Calibri" w:hAnsi="Calibri"/>
        </w:rPr>
        <w:t>Submitted by the Fenway Institute, the Center for American Progress, and</w:t>
      </w:r>
      <w:r w:rsidR="00666141">
        <w:rPr>
          <w:rFonts w:ascii="Calibri" w:hAnsi="Calibri"/>
          <w:b/>
        </w:rPr>
        <w:t xml:space="preserve"> </w:t>
      </w:r>
      <w:r w:rsidR="008E294F" w:rsidRPr="00A70344">
        <w:rPr>
          <w:rFonts w:ascii="Calibri" w:hAnsi="Calibri"/>
          <w:highlight w:val="yellow"/>
        </w:rPr>
        <w:t>X</w:t>
      </w:r>
      <w:r w:rsidR="008E294F" w:rsidRPr="00824675">
        <w:rPr>
          <w:rFonts w:ascii="Calibri" w:hAnsi="Calibri"/>
        </w:rPr>
        <w:t xml:space="preserve"> </w:t>
      </w:r>
      <w:r w:rsidRPr="00083F29">
        <w:rPr>
          <w:rFonts w:ascii="Calibri" w:hAnsi="Calibri"/>
        </w:rPr>
        <w:t>other health</w:t>
      </w:r>
      <w:r w:rsidR="000D2177">
        <w:rPr>
          <w:rFonts w:ascii="Calibri" w:hAnsi="Calibri"/>
        </w:rPr>
        <w:t xml:space="preserve"> care, research, </w:t>
      </w:r>
      <w:r w:rsidRPr="00083F29">
        <w:rPr>
          <w:rFonts w:ascii="Calibri" w:hAnsi="Calibri"/>
        </w:rPr>
        <w:t>professional, and patient advocacy organizations</w:t>
      </w:r>
    </w:p>
    <w:p w14:paraId="2F7A0A87" w14:textId="77777777" w:rsidR="00083F29" w:rsidRPr="00083F29" w:rsidRDefault="00083F29" w:rsidP="00083F29">
      <w:pPr>
        <w:rPr>
          <w:rFonts w:ascii="Calibri" w:hAnsi="Calibri"/>
        </w:rPr>
      </w:pPr>
    </w:p>
    <w:p w14:paraId="77F2995B" w14:textId="7375A106" w:rsidR="00083F29" w:rsidRPr="00083F29" w:rsidRDefault="00083F29" w:rsidP="00083F29">
      <w:pPr>
        <w:rPr>
          <w:rFonts w:ascii="Calibri" w:hAnsi="Calibri"/>
        </w:rPr>
      </w:pPr>
      <w:r w:rsidRPr="00083F29">
        <w:rPr>
          <w:rFonts w:ascii="Calibri" w:hAnsi="Calibri"/>
        </w:rPr>
        <w:t xml:space="preserve">Dear </w:t>
      </w:r>
      <w:r w:rsidR="00A70344">
        <w:rPr>
          <w:rFonts w:ascii="Calibri" w:hAnsi="Calibri"/>
        </w:rPr>
        <w:t>Mr. Slavitt</w:t>
      </w:r>
      <w:r w:rsidRPr="00083F29">
        <w:rPr>
          <w:rFonts w:ascii="Calibri" w:hAnsi="Calibri"/>
        </w:rPr>
        <w:t>:</w:t>
      </w:r>
    </w:p>
    <w:p w14:paraId="30F240BB" w14:textId="77777777" w:rsidR="00083F29" w:rsidRPr="00083F29" w:rsidRDefault="00083F29" w:rsidP="00083F29">
      <w:pPr>
        <w:rPr>
          <w:rFonts w:ascii="Calibri" w:hAnsi="Calibri"/>
        </w:rPr>
      </w:pPr>
    </w:p>
    <w:p w14:paraId="7AB20B12" w14:textId="6FD0749B" w:rsidR="00BA0551" w:rsidRDefault="00083F29" w:rsidP="00BA0551">
      <w:pPr>
        <w:pStyle w:val="s2"/>
        <w:spacing w:before="0" w:beforeAutospacing="0" w:after="0" w:afterAutospacing="0"/>
        <w:rPr>
          <w:rFonts w:ascii="Calibri" w:eastAsia="Calibri" w:hAnsi="Calibri" w:cs="Calibri"/>
          <w:spacing w:val="-3"/>
          <w:shd w:val="clear" w:color="auto" w:fill="FFFFFF"/>
        </w:rPr>
      </w:pPr>
      <w:r w:rsidRPr="00083F29">
        <w:rPr>
          <w:rFonts w:ascii="Calibri" w:eastAsia="Calibri" w:hAnsi="Calibri"/>
          <w:color w:val="000000"/>
        </w:rPr>
        <w:t xml:space="preserve">We write to comment on </w:t>
      </w:r>
      <w:r w:rsidR="00D03A50" w:rsidRPr="00D03A50">
        <w:rPr>
          <w:rFonts w:ascii="Calibri" w:eastAsia="Calibri" w:hAnsi="Calibri" w:cs="Calibri"/>
          <w:spacing w:val="-3"/>
          <w:shd w:val="clear" w:color="auto" w:fill="FFFFFF"/>
        </w:rPr>
        <w:t>the</w:t>
      </w:r>
      <w:r w:rsidR="00CE5277">
        <w:rPr>
          <w:rFonts w:ascii="Calibri" w:eastAsia="Calibri" w:hAnsi="Calibri" w:cs="Calibri"/>
          <w:spacing w:val="-3"/>
          <w:shd w:val="clear" w:color="auto" w:fill="FFFFFF"/>
        </w:rPr>
        <w:t xml:space="preserve"> </w:t>
      </w:r>
      <w:r w:rsidR="00A70344">
        <w:rPr>
          <w:rFonts w:ascii="Calibri" w:eastAsia="Calibri" w:hAnsi="Calibri" w:cs="Calibri"/>
          <w:spacing w:val="-3"/>
          <w:shd w:val="clear" w:color="auto" w:fill="FFFFFF"/>
        </w:rPr>
        <w:t>Stage 3 Meaningful Use proposed rule</w:t>
      </w:r>
      <w:r w:rsidRPr="00083F29">
        <w:rPr>
          <w:rFonts w:ascii="Calibri" w:eastAsia="Calibri" w:hAnsi="Calibri" w:cs="Calibri"/>
          <w:color w:val="000000"/>
          <w:spacing w:val="-3"/>
          <w:shd w:val="clear" w:color="auto" w:fill="FFFFFF"/>
        </w:rPr>
        <w:t>, released b</w:t>
      </w:r>
      <w:r w:rsidR="008912B1">
        <w:rPr>
          <w:rFonts w:ascii="Calibri" w:eastAsia="Calibri" w:hAnsi="Calibri" w:cs="Calibri"/>
          <w:color w:val="000000"/>
          <w:spacing w:val="-3"/>
          <w:shd w:val="clear" w:color="auto" w:fill="FFFFFF"/>
        </w:rPr>
        <w:t xml:space="preserve">y </w:t>
      </w:r>
      <w:r w:rsidR="008F1E5C">
        <w:rPr>
          <w:rFonts w:ascii="Calibri" w:eastAsia="Calibri" w:hAnsi="Calibri" w:cs="Calibri"/>
          <w:color w:val="000000"/>
          <w:spacing w:val="-3"/>
          <w:shd w:val="clear" w:color="auto" w:fill="FFFFFF"/>
        </w:rPr>
        <w:t xml:space="preserve">CMS </w:t>
      </w:r>
      <w:r w:rsidR="00001266">
        <w:rPr>
          <w:rFonts w:ascii="Calibri" w:eastAsia="Calibri" w:hAnsi="Calibri" w:cs="Calibri"/>
          <w:color w:val="000000"/>
          <w:spacing w:val="-3"/>
          <w:shd w:val="clear" w:color="auto" w:fill="FFFFFF"/>
        </w:rPr>
        <w:t xml:space="preserve">on </w:t>
      </w:r>
      <w:r w:rsidR="00A70344">
        <w:rPr>
          <w:rFonts w:ascii="Calibri" w:eastAsia="Calibri" w:hAnsi="Calibri" w:cs="Calibri"/>
          <w:color w:val="000000"/>
          <w:spacing w:val="-3"/>
          <w:shd w:val="clear" w:color="auto" w:fill="FFFFFF"/>
        </w:rPr>
        <w:t>March 30</w:t>
      </w:r>
      <w:r w:rsidRPr="00083F29">
        <w:rPr>
          <w:rFonts w:ascii="Calibri" w:eastAsia="Calibri" w:hAnsi="Calibri" w:cs="Calibri"/>
          <w:color w:val="000000"/>
          <w:spacing w:val="-3"/>
          <w:shd w:val="clear" w:color="auto" w:fill="FFFFFF"/>
        </w:rPr>
        <w:t>, 2015</w:t>
      </w:r>
      <w:r w:rsidR="00D03A50">
        <w:rPr>
          <w:rFonts w:ascii="Calibri" w:eastAsia="Calibri" w:hAnsi="Calibri" w:cs="Calibri"/>
          <w:spacing w:val="-3"/>
          <w:shd w:val="clear" w:color="auto" w:fill="FFFFFF"/>
        </w:rPr>
        <w:t>.</w:t>
      </w:r>
      <w:r w:rsidR="00A70344">
        <w:rPr>
          <w:rFonts w:ascii="Calibri" w:eastAsia="Calibri" w:hAnsi="Calibri" w:cs="Calibri"/>
          <w:spacing w:val="-3"/>
          <w:shd w:val="clear" w:color="auto" w:fill="FFFFFF"/>
        </w:rPr>
        <w:t xml:space="preserve"> As health care providers, researchers, educators, and advocates focusing on the health of lesbian, gay, bisexual, and transgender (LGBT) communities, </w:t>
      </w:r>
      <w:r w:rsidR="00A70344" w:rsidRPr="00A70344">
        <w:rPr>
          <w:rFonts w:ascii="Calibri" w:eastAsia="Calibri" w:hAnsi="Calibri" w:cs="Calibri"/>
          <w:b/>
          <w:spacing w:val="-3"/>
          <w:shd w:val="clear" w:color="auto" w:fill="FFFFFF"/>
        </w:rPr>
        <w:t xml:space="preserve">we are deeply disappointed that </w:t>
      </w:r>
      <w:r w:rsidR="004D7A33">
        <w:rPr>
          <w:rFonts w:ascii="Calibri" w:eastAsia="Calibri" w:hAnsi="Calibri" w:cs="Calibri"/>
          <w:b/>
          <w:spacing w:val="-3"/>
          <w:shd w:val="clear" w:color="auto" w:fill="FFFFFF"/>
        </w:rPr>
        <w:t xml:space="preserve">the collection and use of </w:t>
      </w:r>
      <w:r w:rsidR="00A70344" w:rsidRPr="00A70344">
        <w:rPr>
          <w:rFonts w:ascii="Calibri" w:eastAsia="Calibri" w:hAnsi="Calibri" w:cs="Calibri"/>
          <w:b/>
          <w:spacing w:val="-3"/>
          <w:shd w:val="clear" w:color="auto" w:fill="FFFFFF"/>
        </w:rPr>
        <w:t>sexual orientation and gender identity (SO/GI) are not explicitly included in the Stage 3 proposed rule</w:t>
      </w:r>
      <w:r w:rsidR="00A70344">
        <w:rPr>
          <w:rFonts w:ascii="Calibri" w:eastAsia="Calibri" w:hAnsi="Calibri" w:cs="Calibri"/>
          <w:spacing w:val="-3"/>
          <w:shd w:val="clear" w:color="auto" w:fill="FFFFFF"/>
        </w:rPr>
        <w:t>. This is a major missed opportunity to take an important step toward better understanding, addressing, and reducing LGBT health disparities. It is inconsistent with all of the steps the federal government</w:t>
      </w:r>
      <w:r w:rsidR="00BA0551">
        <w:rPr>
          <w:rFonts w:ascii="Calibri" w:eastAsia="Calibri" w:hAnsi="Calibri" w:cs="Calibri"/>
          <w:spacing w:val="-3"/>
          <w:shd w:val="clear" w:color="auto" w:fill="FFFFFF"/>
        </w:rPr>
        <w:t xml:space="preserve"> has</w:t>
      </w:r>
      <w:r w:rsidR="00A70344">
        <w:rPr>
          <w:rFonts w:ascii="Calibri" w:eastAsia="Calibri" w:hAnsi="Calibri" w:cs="Calibri"/>
          <w:spacing w:val="-3"/>
          <w:shd w:val="clear" w:color="auto" w:fill="FFFFFF"/>
        </w:rPr>
        <w:t xml:space="preserve"> taken over the past six years to increase SO/GI data collection</w:t>
      </w:r>
      <w:r w:rsidR="00FC681E">
        <w:rPr>
          <w:rFonts w:ascii="Calibri" w:eastAsia="Calibri" w:hAnsi="Calibri" w:cs="Calibri"/>
          <w:spacing w:val="-3"/>
          <w:shd w:val="clear" w:color="auto" w:fill="FFFFFF"/>
        </w:rPr>
        <w:t xml:space="preserve"> in health care settings and on surveys</w:t>
      </w:r>
      <w:r w:rsidR="00A70344">
        <w:rPr>
          <w:rFonts w:ascii="Calibri" w:eastAsia="Calibri" w:hAnsi="Calibri" w:cs="Calibri"/>
          <w:spacing w:val="-3"/>
          <w:shd w:val="clear" w:color="auto" w:fill="FFFFFF"/>
        </w:rPr>
        <w:t xml:space="preserve">. </w:t>
      </w:r>
    </w:p>
    <w:p w14:paraId="403B62E4" w14:textId="77777777" w:rsidR="00BA0551" w:rsidRDefault="00BA0551" w:rsidP="00BA0551">
      <w:pPr>
        <w:pStyle w:val="s2"/>
        <w:spacing w:before="0" w:beforeAutospacing="0" w:after="0" w:afterAutospacing="0"/>
        <w:rPr>
          <w:rFonts w:ascii="Calibri" w:eastAsia="Calibri" w:hAnsi="Calibri" w:cs="Calibri"/>
          <w:spacing w:val="-3"/>
          <w:shd w:val="clear" w:color="auto" w:fill="FFFFFF"/>
        </w:rPr>
      </w:pPr>
    </w:p>
    <w:p w14:paraId="24D2F355" w14:textId="46F19369" w:rsidR="00696EC5" w:rsidRDefault="00BA0551" w:rsidP="00BA0551">
      <w:pPr>
        <w:pStyle w:val="s2"/>
        <w:spacing w:before="0" w:beforeAutospacing="0" w:after="0" w:afterAutospacing="0"/>
        <w:rPr>
          <w:rStyle w:val="s4"/>
          <w:rFonts w:asciiTheme="minorHAnsi" w:hAnsiTheme="minorHAnsi" w:cstheme="minorHAnsi"/>
        </w:rPr>
      </w:pPr>
      <w:r w:rsidRPr="00696EC5">
        <w:rPr>
          <w:rStyle w:val="s4"/>
          <w:rFonts w:asciiTheme="minorHAnsi" w:hAnsiTheme="minorHAnsi" w:cstheme="minorHAnsi"/>
        </w:rPr>
        <w:t>Helping to address</w:t>
      </w:r>
      <w:r w:rsidRPr="00696EC5">
        <w:rPr>
          <w:rStyle w:val="s4"/>
          <w:rFonts w:asciiTheme="minorHAnsi" w:hAnsiTheme="minorHAnsi" w:cstheme="minorHAnsi" w:hint="eastAsia"/>
        </w:rPr>
        <w:t> </w:t>
      </w:r>
      <w:r w:rsidRPr="00696EC5">
        <w:rPr>
          <w:rStyle w:val="s4"/>
          <w:rFonts w:asciiTheme="minorHAnsi" w:hAnsiTheme="minorHAnsi" w:cstheme="minorHAnsi"/>
        </w:rPr>
        <w:t>LGBT</w:t>
      </w:r>
      <w:r w:rsidRPr="00696EC5">
        <w:rPr>
          <w:rStyle w:val="s4"/>
          <w:rFonts w:asciiTheme="minorHAnsi" w:hAnsiTheme="minorHAnsi" w:cstheme="minorHAnsi" w:hint="eastAsia"/>
        </w:rPr>
        <w:t> </w:t>
      </w:r>
      <w:r w:rsidRPr="00696EC5">
        <w:rPr>
          <w:rStyle w:val="s4"/>
          <w:rFonts w:asciiTheme="minorHAnsi" w:hAnsiTheme="minorHAnsi" w:cstheme="minorHAnsi"/>
        </w:rPr>
        <w:t>disparities via the consistent collection of SO/GI data</w:t>
      </w:r>
      <w:r w:rsidRPr="00696EC5">
        <w:rPr>
          <w:rStyle w:val="s4"/>
          <w:rFonts w:asciiTheme="minorHAnsi" w:hAnsiTheme="minorHAnsi" w:cstheme="minorHAnsi" w:hint="eastAsia"/>
        </w:rPr>
        <w:t> </w:t>
      </w:r>
      <w:r w:rsidRPr="00696EC5">
        <w:rPr>
          <w:rStyle w:val="s4"/>
          <w:rFonts w:asciiTheme="minorHAnsi" w:hAnsiTheme="minorHAnsi" w:cstheme="minorHAnsi"/>
        </w:rPr>
        <w:t>has become</w:t>
      </w:r>
      <w:r w:rsidRPr="00696EC5">
        <w:rPr>
          <w:rStyle w:val="s4"/>
          <w:rFonts w:asciiTheme="minorHAnsi" w:hAnsiTheme="minorHAnsi" w:cstheme="minorHAnsi" w:hint="eastAsia"/>
        </w:rPr>
        <w:t> </w:t>
      </w:r>
      <w:r w:rsidRPr="00696EC5">
        <w:rPr>
          <w:rStyle w:val="s4"/>
          <w:rFonts w:asciiTheme="minorHAnsi" w:hAnsiTheme="minorHAnsi" w:cstheme="minorHAnsi"/>
        </w:rPr>
        <w:t>a significant priority for HHS.</w:t>
      </w:r>
      <w:r w:rsidRPr="00696EC5">
        <w:rPr>
          <w:rStyle w:val="s4"/>
          <w:rFonts w:asciiTheme="minorHAnsi" w:hAnsiTheme="minorHAnsi" w:cstheme="minorHAnsi" w:hint="eastAsia"/>
        </w:rPr>
        <w:t> </w:t>
      </w:r>
      <w:r w:rsidRPr="00696EC5">
        <w:rPr>
          <w:rStyle w:val="s4"/>
          <w:rFonts w:asciiTheme="minorHAnsi" w:hAnsiTheme="minorHAnsi" w:cstheme="minorHAnsi"/>
        </w:rPr>
        <w:t>For instance, over the last several years the department has:</w:t>
      </w:r>
    </w:p>
    <w:p w14:paraId="54C75F96" w14:textId="77777777" w:rsidR="00696EC5" w:rsidRDefault="00696EC5" w:rsidP="00BA0551">
      <w:pPr>
        <w:pStyle w:val="s2"/>
        <w:spacing w:before="0" w:beforeAutospacing="0" w:after="0" w:afterAutospacing="0"/>
        <w:rPr>
          <w:rStyle w:val="s11"/>
          <w:rFonts w:asciiTheme="minorHAnsi" w:eastAsia="Times New Roman" w:hAnsiTheme="minorHAnsi" w:cstheme="minorHAnsi"/>
        </w:rPr>
      </w:pPr>
    </w:p>
    <w:p w14:paraId="4BCDD03B" w14:textId="362E9A34" w:rsidR="00696EC5" w:rsidRDefault="00696EC5" w:rsidP="00696EC5">
      <w:pPr>
        <w:pStyle w:val="s2"/>
        <w:numPr>
          <w:ilvl w:val="0"/>
          <w:numId w:val="20"/>
        </w:numPr>
        <w:spacing w:before="0" w:beforeAutospacing="0" w:after="0" w:afterAutospacing="0"/>
        <w:rPr>
          <w:rStyle w:val="s4"/>
          <w:rFonts w:asciiTheme="minorHAnsi" w:hAnsiTheme="minorHAnsi" w:cstheme="minorHAnsi"/>
        </w:rPr>
      </w:pPr>
      <w:r w:rsidRPr="00696EC5">
        <w:rPr>
          <w:rStyle w:val="s4"/>
          <w:rFonts w:asciiTheme="minorHAnsi" w:hAnsiTheme="minorHAnsi" w:cstheme="minorHAnsi"/>
        </w:rPr>
        <w:t>Drawn on its authority under Section 4302 of the Affordable Care Act to develop a strategy for expanding the collection of SO</w:t>
      </w:r>
      <w:r>
        <w:rPr>
          <w:rStyle w:val="s4"/>
          <w:rFonts w:asciiTheme="minorHAnsi" w:hAnsiTheme="minorHAnsi" w:cstheme="minorHAnsi"/>
        </w:rPr>
        <w:t>/</w:t>
      </w:r>
      <w:r w:rsidRPr="00696EC5">
        <w:rPr>
          <w:rStyle w:val="s4"/>
          <w:rFonts w:asciiTheme="minorHAnsi" w:hAnsiTheme="minorHAnsi" w:cstheme="minorHAnsi"/>
        </w:rPr>
        <w:t>GI data through its flagship health survey, the National Health Interview Survey</w:t>
      </w:r>
      <w:r>
        <w:rPr>
          <w:rStyle w:val="s4"/>
          <w:rFonts w:asciiTheme="minorHAnsi" w:hAnsiTheme="minorHAnsi" w:cstheme="minorHAnsi"/>
        </w:rPr>
        <w:t>.</w:t>
      </w:r>
    </w:p>
    <w:p w14:paraId="47E9B4C5" w14:textId="77777777" w:rsidR="00696EC5" w:rsidRDefault="00696EC5" w:rsidP="00696EC5">
      <w:pPr>
        <w:pStyle w:val="s2"/>
        <w:spacing w:before="0" w:beforeAutospacing="0" w:after="0" w:afterAutospacing="0"/>
        <w:ind w:left="720"/>
        <w:rPr>
          <w:rStyle w:val="s4"/>
          <w:rFonts w:asciiTheme="minorHAnsi" w:hAnsiTheme="minorHAnsi" w:cstheme="minorHAnsi"/>
        </w:rPr>
      </w:pPr>
    </w:p>
    <w:p w14:paraId="34DE8A71" w14:textId="11857517" w:rsidR="00696EC5" w:rsidRDefault="00696EC5" w:rsidP="00696EC5">
      <w:pPr>
        <w:pStyle w:val="s2"/>
        <w:numPr>
          <w:ilvl w:val="0"/>
          <w:numId w:val="20"/>
        </w:numPr>
        <w:spacing w:before="0" w:beforeAutospacing="0" w:after="0" w:afterAutospacing="0"/>
        <w:rPr>
          <w:rStyle w:val="s4"/>
          <w:rFonts w:asciiTheme="minorHAnsi" w:hAnsiTheme="minorHAnsi" w:cstheme="minorHAnsi"/>
        </w:rPr>
      </w:pPr>
      <w:r w:rsidRPr="00696EC5">
        <w:rPr>
          <w:rStyle w:val="s4"/>
          <w:rFonts w:asciiTheme="minorHAnsi" w:hAnsiTheme="minorHAnsi" w:cstheme="minorHAnsi"/>
        </w:rPr>
        <w:t>Developed a SO</w:t>
      </w:r>
      <w:r>
        <w:rPr>
          <w:rStyle w:val="s4"/>
          <w:rFonts w:asciiTheme="minorHAnsi" w:hAnsiTheme="minorHAnsi" w:cstheme="minorHAnsi"/>
        </w:rPr>
        <w:t>/</w:t>
      </w:r>
      <w:r w:rsidRPr="00696EC5">
        <w:rPr>
          <w:rStyle w:val="s4"/>
          <w:rFonts w:asciiTheme="minorHAnsi" w:hAnsiTheme="minorHAnsi" w:cstheme="minorHAnsi"/>
        </w:rPr>
        <w:t>GI data collection module for the largest federally supported health survey, the Behavioral Risk Facto</w:t>
      </w:r>
      <w:r w:rsidRPr="00BA0551">
        <w:rPr>
          <w:rStyle w:val="s4"/>
          <w:rFonts w:asciiTheme="minorHAnsi" w:hAnsiTheme="minorHAnsi" w:cstheme="minorHAnsi"/>
        </w:rPr>
        <w:t>r Surveillance System (BRFSS)</w:t>
      </w:r>
      <w:r>
        <w:rPr>
          <w:rStyle w:val="s4"/>
          <w:rFonts w:asciiTheme="minorHAnsi" w:hAnsiTheme="minorHAnsi" w:cstheme="minorHAnsi"/>
        </w:rPr>
        <w:t>. I</w:t>
      </w:r>
      <w:r w:rsidRPr="00696EC5">
        <w:rPr>
          <w:rStyle w:val="s4"/>
          <w:rFonts w:asciiTheme="minorHAnsi" w:hAnsiTheme="minorHAnsi" w:cstheme="minorHAnsi"/>
        </w:rPr>
        <w:t>n 2014 alone, 19 states plus Guam added this module to their BRFSS questionnaires, in addition to approximately a dozen other states and territories that already asked about sexual orientation and/or gender identity using questions that differ from this module</w:t>
      </w:r>
      <w:r>
        <w:rPr>
          <w:rStyle w:val="s4"/>
          <w:rFonts w:asciiTheme="minorHAnsi" w:hAnsiTheme="minorHAnsi" w:cstheme="minorHAnsi"/>
        </w:rPr>
        <w:t>.</w:t>
      </w:r>
    </w:p>
    <w:p w14:paraId="721B12F1" w14:textId="77777777" w:rsidR="00696EC5" w:rsidRDefault="00696EC5" w:rsidP="00696EC5">
      <w:pPr>
        <w:pStyle w:val="ListParagraph"/>
        <w:rPr>
          <w:rStyle w:val="s4"/>
          <w:rFonts w:cstheme="minorHAnsi"/>
        </w:rPr>
      </w:pPr>
    </w:p>
    <w:p w14:paraId="623A4FFA" w14:textId="13B2A1B0" w:rsidR="00696EC5" w:rsidRDefault="00696EC5" w:rsidP="00696EC5">
      <w:pPr>
        <w:pStyle w:val="s2"/>
        <w:numPr>
          <w:ilvl w:val="0"/>
          <w:numId w:val="20"/>
        </w:numPr>
        <w:spacing w:before="0" w:beforeAutospacing="0" w:after="0" w:afterAutospacing="0"/>
        <w:rPr>
          <w:rStyle w:val="s4"/>
          <w:rFonts w:asciiTheme="minorHAnsi" w:hAnsiTheme="minorHAnsi" w:cstheme="minorHAnsi"/>
        </w:rPr>
      </w:pPr>
      <w:r w:rsidRPr="00696EC5">
        <w:rPr>
          <w:rStyle w:val="s4"/>
          <w:rFonts w:asciiTheme="minorHAnsi" w:hAnsiTheme="minorHAnsi" w:cstheme="minorHAnsi"/>
        </w:rPr>
        <w:lastRenderedPageBreak/>
        <w:t>Increasingly added sexual orientation and/or gender identity demographic questions to surveys and programmatic data collection instruments at the Substance Abuse and Mental Health Services Administration, the Health Resources and Services Administration, and other divisions across the department</w:t>
      </w:r>
      <w:r>
        <w:rPr>
          <w:rStyle w:val="s4"/>
          <w:rFonts w:asciiTheme="minorHAnsi" w:hAnsiTheme="minorHAnsi" w:cstheme="minorHAnsi"/>
        </w:rPr>
        <w:t>.</w:t>
      </w:r>
    </w:p>
    <w:p w14:paraId="1CBD4D4D" w14:textId="77777777" w:rsidR="00696EC5" w:rsidRPr="00696EC5" w:rsidRDefault="00696EC5" w:rsidP="00696EC5">
      <w:pPr>
        <w:ind w:left="720"/>
        <w:rPr>
          <w:rStyle w:val="s11"/>
          <w:rFonts w:asciiTheme="minorHAnsi" w:hAnsiTheme="minorHAnsi" w:cstheme="minorHAnsi"/>
        </w:rPr>
      </w:pPr>
    </w:p>
    <w:p w14:paraId="58AA0566" w14:textId="2B166149" w:rsidR="00EF42C1" w:rsidRDefault="00BA0551" w:rsidP="00CE7278">
      <w:pPr>
        <w:autoSpaceDE w:val="0"/>
        <w:autoSpaceDN w:val="0"/>
        <w:adjustRightInd w:val="0"/>
        <w:rPr>
          <w:rFonts w:ascii="Calibri" w:eastAsia="Calibri" w:hAnsi="Calibri" w:cs="Calibri"/>
          <w:spacing w:val="-3"/>
          <w:shd w:val="clear" w:color="auto" w:fill="FFFFFF"/>
        </w:rPr>
      </w:pPr>
      <w:r>
        <w:rPr>
          <w:rFonts w:ascii="Calibri" w:eastAsia="Calibri" w:hAnsi="Calibri" w:cs="Calibri"/>
          <w:spacing w:val="-3"/>
          <w:shd w:val="clear" w:color="auto" w:fill="FFFFFF"/>
        </w:rPr>
        <w:t xml:space="preserve">The failure of CMS to include SO/GI in Meaningful Use Stage 3 </w:t>
      </w:r>
      <w:r w:rsidR="00A70344">
        <w:rPr>
          <w:rFonts w:ascii="Calibri" w:eastAsia="Calibri" w:hAnsi="Calibri" w:cs="Calibri"/>
          <w:spacing w:val="-3"/>
          <w:shd w:val="clear" w:color="auto" w:fill="FFFFFF"/>
        </w:rPr>
        <w:t>also ignores the recommendations of the Institute of Medicine, the Joint Comm</w:t>
      </w:r>
      <w:r w:rsidR="00482FD8">
        <w:rPr>
          <w:rFonts w:ascii="Calibri" w:eastAsia="Calibri" w:hAnsi="Calibri" w:cs="Calibri"/>
          <w:spacing w:val="-3"/>
          <w:shd w:val="clear" w:color="auto" w:fill="FFFFFF"/>
        </w:rPr>
        <w:t>ission, and leading LGBT health researchers across the U.S. in support of including SO/GI data collection as part of Meaningful Use guidelines.</w:t>
      </w:r>
    </w:p>
    <w:p w14:paraId="0D9DEE21" w14:textId="77777777" w:rsidR="00EF42C1" w:rsidRDefault="00EF42C1" w:rsidP="00CE7278">
      <w:pPr>
        <w:autoSpaceDE w:val="0"/>
        <w:autoSpaceDN w:val="0"/>
        <w:adjustRightInd w:val="0"/>
        <w:rPr>
          <w:rFonts w:ascii="Calibri" w:eastAsia="Calibri" w:hAnsi="Calibri" w:cs="Calibri"/>
          <w:spacing w:val="-3"/>
          <w:shd w:val="clear" w:color="auto" w:fill="FFFFFF"/>
        </w:rPr>
      </w:pPr>
    </w:p>
    <w:p w14:paraId="02CC2278" w14:textId="23A0A759" w:rsidR="00070D79" w:rsidRDefault="00070D79" w:rsidP="00070D79">
      <w:pPr>
        <w:rPr>
          <w:rFonts w:asciiTheme="minorHAnsi" w:hAnsiTheme="minorHAnsi" w:cstheme="minorHAnsi"/>
        </w:rPr>
      </w:pPr>
      <w:r w:rsidRPr="00A07BC2">
        <w:rPr>
          <w:rFonts w:asciiTheme="minorHAnsi" w:hAnsiTheme="minorHAnsi" w:cstheme="minorHAnsi"/>
        </w:rPr>
        <w:t xml:space="preserve">Despite advances in </w:t>
      </w:r>
      <w:r>
        <w:rPr>
          <w:rFonts w:asciiTheme="minorHAnsi" w:hAnsiTheme="minorHAnsi" w:cstheme="minorHAnsi"/>
        </w:rPr>
        <w:t xml:space="preserve">legal </w:t>
      </w:r>
      <w:r w:rsidRPr="00A07BC2">
        <w:rPr>
          <w:rFonts w:asciiTheme="minorHAnsi" w:hAnsiTheme="minorHAnsi" w:cstheme="minorHAnsi"/>
        </w:rPr>
        <w:t xml:space="preserve">protections for </w:t>
      </w:r>
      <w:r>
        <w:rPr>
          <w:rFonts w:asciiTheme="minorHAnsi" w:hAnsiTheme="minorHAnsi" w:cstheme="minorHAnsi"/>
        </w:rPr>
        <w:t>LGBT</w:t>
      </w:r>
      <w:r w:rsidRPr="00A07BC2">
        <w:rPr>
          <w:rFonts w:asciiTheme="minorHAnsi" w:hAnsiTheme="minorHAnsi" w:cstheme="minorHAnsi"/>
        </w:rPr>
        <w:t xml:space="preserve"> people that have occurred over the last several decades, many barriers to good health and high-quality health care remain. </w:t>
      </w:r>
      <w:r>
        <w:rPr>
          <w:rFonts w:asciiTheme="minorHAnsi" w:hAnsiTheme="minorHAnsi" w:cstheme="minorHAnsi"/>
        </w:rPr>
        <w:t xml:space="preserve">As recommended by </w:t>
      </w:r>
      <w:r w:rsidRPr="00A07BC2">
        <w:rPr>
          <w:rFonts w:asciiTheme="minorHAnsi" w:hAnsiTheme="minorHAnsi" w:cstheme="minorHAnsi"/>
        </w:rPr>
        <w:t>both the Institute of Medicine</w:t>
      </w:r>
      <w:r>
        <w:rPr>
          <w:rStyle w:val="EndnoteReference"/>
          <w:rFonts w:asciiTheme="minorHAnsi" w:hAnsiTheme="minorHAnsi" w:cstheme="minorHAnsi"/>
        </w:rPr>
        <w:endnoteReference w:id="1"/>
      </w:r>
      <w:r>
        <w:rPr>
          <w:rFonts w:asciiTheme="minorHAnsi" w:hAnsiTheme="minorHAnsi" w:cstheme="minorHAnsi"/>
        </w:rPr>
        <w:t xml:space="preserve"> and t</w:t>
      </w:r>
      <w:r w:rsidRPr="00A07BC2">
        <w:rPr>
          <w:rFonts w:asciiTheme="minorHAnsi" w:hAnsiTheme="minorHAnsi" w:cstheme="minorHAnsi"/>
        </w:rPr>
        <w:t>he Joint Commission</w:t>
      </w:r>
      <w:r>
        <w:rPr>
          <w:rFonts w:asciiTheme="minorHAnsi" w:hAnsiTheme="minorHAnsi" w:cstheme="minorHAnsi"/>
        </w:rPr>
        <w:t>,</w:t>
      </w:r>
      <w:r>
        <w:rPr>
          <w:rStyle w:val="EndnoteReference"/>
          <w:rFonts w:asciiTheme="minorHAnsi" w:hAnsiTheme="minorHAnsi" w:cstheme="minorHAnsi"/>
        </w:rPr>
        <w:endnoteReference w:id="2"/>
      </w:r>
      <w:r>
        <w:rPr>
          <w:rFonts w:asciiTheme="minorHAnsi" w:hAnsiTheme="minorHAnsi" w:cstheme="minorHAnsi"/>
        </w:rPr>
        <w:t xml:space="preserve"> c</w:t>
      </w:r>
      <w:r w:rsidRPr="00A07BC2">
        <w:rPr>
          <w:rFonts w:asciiTheme="minorHAnsi" w:hAnsiTheme="minorHAnsi" w:cstheme="minorHAnsi"/>
        </w:rPr>
        <w:t xml:space="preserve">ollecting data on sexual orientation and gender identity </w:t>
      </w:r>
      <w:r>
        <w:rPr>
          <w:rFonts w:asciiTheme="minorHAnsi" w:hAnsiTheme="minorHAnsi" w:cstheme="minorHAnsi"/>
        </w:rPr>
        <w:t>i</w:t>
      </w:r>
      <w:r w:rsidRPr="00A07BC2">
        <w:rPr>
          <w:rFonts w:asciiTheme="minorHAnsi" w:hAnsiTheme="minorHAnsi" w:cstheme="minorHAnsi"/>
        </w:rPr>
        <w:t xml:space="preserve">n health care settings is essential to providing high-quality, patient-centered care to LGBT individuals. </w:t>
      </w:r>
      <w:r>
        <w:rPr>
          <w:rFonts w:asciiTheme="minorHAnsi" w:hAnsiTheme="minorHAnsi" w:cstheme="minorHAnsi"/>
        </w:rPr>
        <w:t>Collecting SO/GI data is</w:t>
      </w:r>
      <w:r w:rsidRPr="00A07BC2">
        <w:rPr>
          <w:rFonts w:asciiTheme="minorHAnsi" w:hAnsiTheme="minorHAnsi" w:cstheme="minorHAnsi"/>
        </w:rPr>
        <w:t xml:space="preserve"> also an important part of learning more about and addressing LGBT health disparities</w:t>
      </w:r>
      <w:r>
        <w:rPr>
          <w:rFonts w:asciiTheme="minorHAnsi" w:hAnsiTheme="minorHAnsi" w:cstheme="minorHAnsi"/>
        </w:rPr>
        <w:t xml:space="preserve">. </w:t>
      </w:r>
      <w:r w:rsidRPr="00F9545E">
        <w:rPr>
          <w:rFonts w:asciiTheme="minorHAnsi" w:hAnsiTheme="minorHAnsi" w:cstheme="minorHAnsi"/>
        </w:rPr>
        <w:t>In recent years, LGBT health experts and health policymakers have reached consensus regarding the relative dearth of data on LGBT health and the impo</w:t>
      </w:r>
      <w:r>
        <w:rPr>
          <w:rFonts w:asciiTheme="minorHAnsi" w:hAnsiTheme="minorHAnsi" w:cstheme="minorHAnsi"/>
        </w:rPr>
        <w:t>rtance of increasing SO/GI</w:t>
      </w:r>
      <w:r w:rsidRPr="00F9545E">
        <w:rPr>
          <w:rFonts w:asciiTheme="minorHAnsi" w:hAnsiTheme="minorHAnsi" w:cstheme="minorHAnsi"/>
        </w:rPr>
        <w:t xml:space="preserve"> data collection in clinical settings and in electronic health records (EHRs) in order to better understand LGBT health disparities and inform interventio</w:t>
      </w:r>
      <w:r>
        <w:rPr>
          <w:rFonts w:asciiTheme="minorHAnsi" w:hAnsiTheme="minorHAnsi" w:cstheme="minorHAnsi"/>
        </w:rPr>
        <w:t>ns to reduce and eliminate them</w:t>
      </w:r>
      <w:r w:rsidRPr="009F46A8">
        <w:rPr>
          <w:rFonts w:asciiTheme="minorHAnsi" w:hAnsiTheme="minorHAnsi"/>
        </w:rPr>
        <w:t>.</w:t>
      </w:r>
      <w:r w:rsidRPr="009F46A8">
        <w:rPr>
          <w:rStyle w:val="EndnoteReference"/>
          <w:rFonts w:asciiTheme="minorHAnsi" w:hAnsiTheme="minorHAnsi"/>
        </w:rPr>
        <w:endnoteReference w:id="3"/>
      </w:r>
    </w:p>
    <w:p w14:paraId="6C530579" w14:textId="77777777" w:rsidR="00070D79" w:rsidRDefault="00070D79" w:rsidP="00070D79">
      <w:pPr>
        <w:rPr>
          <w:rFonts w:asciiTheme="minorHAnsi" w:hAnsiTheme="minorHAnsi" w:cstheme="minorHAnsi"/>
        </w:rPr>
      </w:pPr>
    </w:p>
    <w:p w14:paraId="2233C4F2" w14:textId="6540CAD6" w:rsidR="00070D79" w:rsidRDefault="00070D79" w:rsidP="00070D79">
      <w:pPr>
        <w:rPr>
          <w:rFonts w:asciiTheme="minorHAnsi" w:hAnsiTheme="minorHAnsi" w:cstheme="minorHAnsi"/>
        </w:rPr>
      </w:pPr>
      <w:r w:rsidRPr="00F9545E">
        <w:rPr>
          <w:rFonts w:asciiTheme="minorHAnsi" w:hAnsiTheme="minorHAnsi" w:cstheme="minorHAnsi"/>
        </w:rPr>
        <w:t xml:space="preserve">A growing body of research has documented </w:t>
      </w:r>
      <w:r>
        <w:rPr>
          <w:rFonts w:asciiTheme="minorHAnsi" w:hAnsiTheme="minorHAnsi" w:cstheme="minorHAnsi"/>
        </w:rPr>
        <w:t>LGBT</w:t>
      </w:r>
      <w:r w:rsidRPr="00F9545E">
        <w:rPr>
          <w:rFonts w:asciiTheme="minorHAnsi" w:hAnsiTheme="minorHAnsi" w:cstheme="minorHAnsi"/>
        </w:rPr>
        <w:t xml:space="preserve"> health disparities in health and disease outcomes,</w:t>
      </w:r>
      <w:r w:rsidRPr="00F9545E">
        <w:rPr>
          <w:rStyle w:val="EndnoteReference"/>
          <w:rFonts w:asciiTheme="minorHAnsi" w:hAnsiTheme="minorHAnsi" w:cstheme="minorHAnsi"/>
        </w:rPr>
        <w:endnoteReference w:id="4"/>
      </w:r>
      <w:r w:rsidRPr="00F9545E">
        <w:rPr>
          <w:rStyle w:val="EndnoteReference"/>
          <w:rFonts w:asciiTheme="minorHAnsi" w:hAnsiTheme="minorHAnsi" w:cstheme="minorHAnsi"/>
        </w:rPr>
        <w:t>,</w:t>
      </w:r>
      <w:r w:rsidRPr="00F9545E">
        <w:rPr>
          <w:rStyle w:val="EndnoteReference"/>
          <w:rFonts w:asciiTheme="minorHAnsi" w:hAnsiTheme="minorHAnsi" w:cstheme="minorHAnsi"/>
        </w:rPr>
        <w:endnoteReference w:id="5"/>
      </w:r>
      <w:r w:rsidRPr="00F9545E">
        <w:rPr>
          <w:rFonts w:asciiTheme="minorHAnsi" w:hAnsiTheme="minorHAnsi" w:cstheme="minorHAnsi"/>
        </w:rPr>
        <w:t xml:space="preserve"> risk behaviors and factors,</w:t>
      </w:r>
      <w:r w:rsidRPr="00F9545E">
        <w:rPr>
          <w:rStyle w:val="EndnoteReference"/>
          <w:rFonts w:asciiTheme="minorHAnsi" w:hAnsiTheme="minorHAnsi" w:cstheme="minorHAnsi"/>
        </w:rPr>
        <w:endnoteReference w:id="6"/>
      </w:r>
      <w:proofErr w:type="gramStart"/>
      <w:r w:rsidRPr="00F9545E">
        <w:rPr>
          <w:rFonts w:asciiTheme="minorHAnsi" w:hAnsiTheme="minorHAnsi" w:cstheme="minorHAnsi"/>
          <w:vertAlign w:val="superscript"/>
        </w:rPr>
        <w:t>,</w:t>
      </w:r>
      <w:proofErr w:type="gramEnd"/>
      <w:r w:rsidRPr="00F9545E">
        <w:rPr>
          <w:rStyle w:val="EndnoteReference"/>
          <w:rFonts w:asciiTheme="minorHAnsi" w:hAnsiTheme="minorHAnsi" w:cstheme="minorHAnsi"/>
        </w:rPr>
        <w:endnoteReference w:id="7"/>
      </w:r>
      <w:r w:rsidRPr="00F9545E">
        <w:rPr>
          <w:rFonts w:asciiTheme="minorHAnsi" w:hAnsiTheme="minorHAnsi" w:cstheme="minorHAnsi"/>
        </w:rPr>
        <w:t xml:space="preserve"> rates of insurance coverage,</w:t>
      </w:r>
      <w:r w:rsidRPr="00F9545E">
        <w:rPr>
          <w:rStyle w:val="EndnoteReference"/>
          <w:rFonts w:asciiTheme="minorHAnsi" w:hAnsiTheme="minorHAnsi" w:cstheme="minorHAnsi"/>
        </w:rPr>
        <w:endnoteReference w:id="8"/>
      </w:r>
      <w:r w:rsidRPr="00F9545E">
        <w:rPr>
          <w:rFonts w:asciiTheme="minorHAnsi" w:hAnsiTheme="minorHAnsi" w:cstheme="minorHAnsi"/>
          <w:vertAlign w:val="superscript"/>
        </w:rPr>
        <w:t>,</w:t>
      </w:r>
      <w:r w:rsidRPr="00F9545E">
        <w:rPr>
          <w:rStyle w:val="EndnoteReference"/>
          <w:rFonts w:asciiTheme="minorHAnsi" w:hAnsiTheme="minorHAnsi" w:cstheme="minorHAnsi"/>
        </w:rPr>
        <w:endnoteReference w:id="9"/>
      </w:r>
      <w:r w:rsidRPr="00F9545E">
        <w:rPr>
          <w:rFonts w:asciiTheme="minorHAnsi" w:hAnsiTheme="minorHAnsi" w:cstheme="minorHAnsi"/>
        </w:rPr>
        <w:t xml:space="preserve"> access to preventive care,</w:t>
      </w:r>
      <w:r w:rsidRPr="00F9545E">
        <w:rPr>
          <w:rStyle w:val="EndnoteReference"/>
          <w:rFonts w:asciiTheme="minorHAnsi" w:hAnsiTheme="minorHAnsi" w:cstheme="minorHAnsi"/>
        </w:rPr>
        <w:endnoteReference w:id="10"/>
      </w:r>
      <w:r w:rsidRPr="00F9545E">
        <w:rPr>
          <w:rFonts w:asciiTheme="minorHAnsi" w:hAnsiTheme="minorHAnsi" w:cstheme="minorHAnsi"/>
          <w:vertAlign w:val="superscript"/>
        </w:rPr>
        <w:t>,</w:t>
      </w:r>
      <w:r w:rsidRPr="00F9545E">
        <w:rPr>
          <w:rStyle w:val="EndnoteReference"/>
          <w:rFonts w:asciiTheme="minorHAnsi" w:hAnsiTheme="minorHAnsi" w:cstheme="minorHAnsi"/>
        </w:rPr>
        <w:endnoteReference w:id="11"/>
      </w:r>
      <w:r w:rsidRPr="00F9545E">
        <w:rPr>
          <w:rFonts w:asciiTheme="minorHAnsi" w:hAnsiTheme="minorHAnsi" w:cstheme="minorHAnsi"/>
        </w:rPr>
        <w:t xml:space="preserve"> and access to culturally competent care.</w:t>
      </w:r>
      <w:r w:rsidRPr="00F9545E">
        <w:rPr>
          <w:rStyle w:val="EndnoteReference"/>
          <w:rFonts w:asciiTheme="minorHAnsi" w:hAnsiTheme="minorHAnsi" w:cstheme="minorHAnsi"/>
        </w:rPr>
        <w:endnoteReference w:id="12"/>
      </w:r>
      <w:r w:rsidRPr="00F9545E">
        <w:rPr>
          <w:rFonts w:asciiTheme="minorHAnsi" w:hAnsiTheme="minorHAnsi" w:cstheme="minorHAnsi"/>
        </w:rPr>
        <w:t xml:space="preserve"> </w:t>
      </w:r>
      <w:r w:rsidRPr="00A07BC2">
        <w:rPr>
          <w:rFonts w:asciiTheme="minorHAnsi" w:hAnsiTheme="minorHAnsi" w:cstheme="minorHAnsi"/>
        </w:rPr>
        <w:t xml:space="preserve">Because most clinical records systems do not support the collection of structured SO/GI data, however, LGBT people are often invisible in care settings. This invisibility masks disparities and impedes the provision of important health care services for LGBT individuals, such as appropriate preventive screenings, assessments of risk for sexually transmitted infections such as HIV, and effective interventions for behavioral health concerns that may be related to experiences of anti-LGBT stigma and discrimination. Like all patients, LGBT people have many concerns related to their </w:t>
      </w:r>
      <w:proofErr w:type="gramStart"/>
      <w:r w:rsidRPr="00A07BC2">
        <w:rPr>
          <w:rFonts w:asciiTheme="minorHAnsi" w:hAnsiTheme="minorHAnsi" w:cstheme="minorHAnsi"/>
        </w:rPr>
        <w:t>relationships,</w:t>
      </w:r>
      <w:proofErr w:type="gramEnd"/>
      <w:r w:rsidRPr="00A07BC2">
        <w:rPr>
          <w:rFonts w:asciiTheme="minorHAnsi" w:hAnsiTheme="minorHAnsi" w:cstheme="minorHAnsi"/>
        </w:rPr>
        <w:t xml:space="preserve"> desire to have families, and issues of aging that occur in different stages of the life cycle. An opportunity to share information about their sexual orientation and gender identity in a welcoming environment will facilitate important conversations with clinicians who are in a position to be extremely helpful.</w:t>
      </w:r>
    </w:p>
    <w:p w14:paraId="298A15E7" w14:textId="77777777" w:rsidR="003751B2" w:rsidRDefault="003751B2" w:rsidP="003751B2">
      <w:pPr>
        <w:autoSpaceDE w:val="0"/>
        <w:autoSpaceDN w:val="0"/>
        <w:adjustRightInd w:val="0"/>
        <w:rPr>
          <w:rFonts w:ascii="Calibri" w:eastAsia="Calibri" w:hAnsi="Calibri" w:cs="Calibri"/>
          <w:spacing w:val="-3"/>
          <w:shd w:val="clear" w:color="auto" w:fill="FFFFFF"/>
        </w:rPr>
      </w:pPr>
    </w:p>
    <w:p w14:paraId="317715B0" w14:textId="77777777" w:rsidR="003751B2" w:rsidRDefault="003751B2" w:rsidP="003751B2">
      <w:pPr>
        <w:autoSpaceDE w:val="0"/>
        <w:autoSpaceDN w:val="0"/>
        <w:adjustRightInd w:val="0"/>
        <w:rPr>
          <w:rFonts w:ascii="Calibri" w:eastAsia="Calibri" w:hAnsi="Calibri" w:cs="Calibri"/>
          <w:spacing w:val="-3"/>
          <w:shd w:val="clear" w:color="auto" w:fill="FFFFFF"/>
        </w:rPr>
      </w:pPr>
      <w:r>
        <w:rPr>
          <w:rFonts w:ascii="Calibri" w:hAnsi="Calibri"/>
        </w:rPr>
        <w:t>Knowledge of a patient’s sexual orientation or gender identity can be an important part of treatment. For example, transgender women who were assigned male sex at birth should be offered a prostate exam as appropriate. Gay and bisexual men and transgender women should be regularly tested for HIV, syphilis, and other STIs. If providers do not know that their patient is gay or transgender, they do not know to do these screenings.</w:t>
      </w:r>
    </w:p>
    <w:p w14:paraId="2BE7FB80" w14:textId="77777777" w:rsidR="00482FD8" w:rsidRDefault="00482FD8" w:rsidP="00CE7278">
      <w:pPr>
        <w:autoSpaceDE w:val="0"/>
        <w:autoSpaceDN w:val="0"/>
        <w:adjustRightInd w:val="0"/>
        <w:rPr>
          <w:rFonts w:ascii="Calibri" w:eastAsia="Calibri" w:hAnsi="Calibri" w:cs="Calibri"/>
          <w:spacing w:val="-3"/>
          <w:shd w:val="clear" w:color="auto" w:fill="FFFFFF"/>
        </w:rPr>
      </w:pPr>
    </w:p>
    <w:p w14:paraId="402B8F1F" w14:textId="460915BD" w:rsidR="000D5694" w:rsidRDefault="000D5694" w:rsidP="000D5694">
      <w:pPr>
        <w:autoSpaceDE w:val="0"/>
        <w:autoSpaceDN w:val="0"/>
        <w:adjustRightInd w:val="0"/>
        <w:rPr>
          <w:rFonts w:ascii="Calibri" w:eastAsia="Calibri" w:hAnsi="Calibri" w:cs="Calibri"/>
          <w:spacing w:val="-3"/>
          <w:shd w:val="clear" w:color="auto" w:fill="FFFFFF"/>
        </w:rPr>
      </w:pPr>
      <w:r>
        <w:rPr>
          <w:rFonts w:ascii="Calibri" w:eastAsia="Calibri" w:hAnsi="Calibri" w:cs="Calibri"/>
          <w:spacing w:val="-3"/>
          <w:shd w:val="clear" w:color="auto" w:fill="FFFFFF"/>
        </w:rPr>
        <w:t xml:space="preserve">The stated goals of the Meaningful Use program are to: </w:t>
      </w:r>
    </w:p>
    <w:p w14:paraId="546DDDD3" w14:textId="621E78B1" w:rsidR="000D5694" w:rsidRPr="00070D79" w:rsidRDefault="000D5694" w:rsidP="000D5694">
      <w:pPr>
        <w:numPr>
          <w:ilvl w:val="0"/>
          <w:numId w:val="19"/>
        </w:numPr>
        <w:autoSpaceDE w:val="0"/>
        <w:autoSpaceDN w:val="0"/>
        <w:adjustRightInd w:val="0"/>
        <w:rPr>
          <w:rFonts w:ascii="Calibri" w:eastAsia="Calibri" w:hAnsi="Calibri" w:cs="Calibri"/>
          <w:spacing w:val="-3"/>
          <w:shd w:val="clear" w:color="auto" w:fill="FFFFFF"/>
        </w:rPr>
      </w:pPr>
      <w:r w:rsidRPr="00070D79">
        <w:rPr>
          <w:rFonts w:ascii="Calibri" w:eastAsia="Calibri" w:hAnsi="Calibri" w:cs="Calibri"/>
          <w:spacing w:val="-3"/>
          <w:shd w:val="clear" w:color="auto" w:fill="FFFFFF"/>
        </w:rPr>
        <w:t>Reduce health disparities</w:t>
      </w:r>
    </w:p>
    <w:p w14:paraId="15E3C577" w14:textId="77777777" w:rsidR="000D5694" w:rsidRPr="00070D79" w:rsidRDefault="000D5694" w:rsidP="000D5694">
      <w:pPr>
        <w:numPr>
          <w:ilvl w:val="0"/>
          <w:numId w:val="19"/>
        </w:numPr>
        <w:autoSpaceDE w:val="0"/>
        <w:autoSpaceDN w:val="0"/>
        <w:adjustRightInd w:val="0"/>
        <w:rPr>
          <w:rFonts w:ascii="Calibri" w:eastAsia="Calibri" w:hAnsi="Calibri" w:cs="Calibri"/>
          <w:spacing w:val="-3"/>
          <w:shd w:val="clear" w:color="auto" w:fill="FFFFFF"/>
        </w:rPr>
      </w:pPr>
      <w:r w:rsidRPr="00070D79">
        <w:rPr>
          <w:rFonts w:ascii="Calibri" w:eastAsia="Calibri" w:hAnsi="Calibri" w:cs="Calibri"/>
          <w:spacing w:val="-3"/>
          <w:shd w:val="clear" w:color="auto" w:fill="FFFFFF"/>
        </w:rPr>
        <w:t>Engage patients and families</w:t>
      </w:r>
    </w:p>
    <w:p w14:paraId="5E1B2997" w14:textId="77777777" w:rsidR="000D5694" w:rsidRPr="00070D79" w:rsidRDefault="000D5694" w:rsidP="000D5694">
      <w:pPr>
        <w:numPr>
          <w:ilvl w:val="0"/>
          <w:numId w:val="19"/>
        </w:numPr>
        <w:autoSpaceDE w:val="0"/>
        <w:autoSpaceDN w:val="0"/>
        <w:adjustRightInd w:val="0"/>
        <w:rPr>
          <w:rFonts w:ascii="Calibri" w:eastAsia="Calibri" w:hAnsi="Calibri" w:cs="Calibri"/>
          <w:spacing w:val="-3"/>
          <w:shd w:val="clear" w:color="auto" w:fill="FFFFFF"/>
        </w:rPr>
      </w:pPr>
      <w:r w:rsidRPr="00070D79">
        <w:rPr>
          <w:rFonts w:ascii="Calibri" w:eastAsia="Calibri" w:hAnsi="Calibri" w:cs="Calibri"/>
          <w:spacing w:val="-3"/>
          <w:shd w:val="clear" w:color="auto" w:fill="FFFFFF"/>
        </w:rPr>
        <w:t>Improve care coordination</w:t>
      </w:r>
    </w:p>
    <w:p w14:paraId="53176B02" w14:textId="77777777" w:rsidR="000D5694" w:rsidRPr="00070D79" w:rsidRDefault="000D5694" w:rsidP="000D5694">
      <w:pPr>
        <w:numPr>
          <w:ilvl w:val="0"/>
          <w:numId w:val="19"/>
        </w:numPr>
        <w:autoSpaceDE w:val="0"/>
        <w:autoSpaceDN w:val="0"/>
        <w:adjustRightInd w:val="0"/>
        <w:rPr>
          <w:rFonts w:ascii="Calibri" w:eastAsia="Calibri" w:hAnsi="Calibri" w:cs="Calibri"/>
          <w:spacing w:val="-3"/>
          <w:shd w:val="clear" w:color="auto" w:fill="FFFFFF"/>
        </w:rPr>
      </w:pPr>
      <w:r w:rsidRPr="00070D79">
        <w:rPr>
          <w:rFonts w:ascii="Calibri" w:eastAsia="Calibri" w:hAnsi="Calibri" w:cs="Calibri"/>
          <w:spacing w:val="-3"/>
          <w:shd w:val="clear" w:color="auto" w:fill="FFFFFF"/>
        </w:rPr>
        <w:t>Improve population health and public health</w:t>
      </w:r>
    </w:p>
    <w:p w14:paraId="44710DCF" w14:textId="77777777" w:rsidR="000D5694" w:rsidRPr="00070D79" w:rsidRDefault="000D5694" w:rsidP="000D5694">
      <w:pPr>
        <w:numPr>
          <w:ilvl w:val="0"/>
          <w:numId w:val="19"/>
        </w:numPr>
        <w:autoSpaceDE w:val="0"/>
        <w:autoSpaceDN w:val="0"/>
        <w:adjustRightInd w:val="0"/>
        <w:rPr>
          <w:rFonts w:ascii="Calibri" w:eastAsia="Calibri" w:hAnsi="Calibri" w:cs="Calibri"/>
          <w:spacing w:val="-3"/>
          <w:shd w:val="clear" w:color="auto" w:fill="FFFFFF"/>
        </w:rPr>
      </w:pPr>
      <w:r w:rsidRPr="00070D79">
        <w:rPr>
          <w:rFonts w:ascii="Calibri" w:eastAsia="Calibri" w:hAnsi="Calibri" w:cs="Calibri"/>
          <w:spacing w:val="-3"/>
          <w:shd w:val="clear" w:color="auto" w:fill="FFFFFF"/>
        </w:rPr>
        <w:t>Ensure adequate privacy and security protections for personal health information</w:t>
      </w:r>
    </w:p>
    <w:p w14:paraId="1BA836ED" w14:textId="77777777" w:rsidR="000D5694" w:rsidRDefault="000D5694" w:rsidP="00CE7278">
      <w:pPr>
        <w:autoSpaceDE w:val="0"/>
        <w:autoSpaceDN w:val="0"/>
        <w:adjustRightInd w:val="0"/>
        <w:rPr>
          <w:rFonts w:ascii="Calibri" w:eastAsia="Calibri" w:hAnsi="Calibri" w:cs="Calibri"/>
          <w:spacing w:val="-3"/>
          <w:shd w:val="clear" w:color="auto" w:fill="FFFFFF"/>
        </w:rPr>
      </w:pPr>
    </w:p>
    <w:p w14:paraId="686FD000" w14:textId="77777777" w:rsidR="003751B2" w:rsidRDefault="000D5694" w:rsidP="00CE7278">
      <w:pPr>
        <w:autoSpaceDE w:val="0"/>
        <w:autoSpaceDN w:val="0"/>
        <w:adjustRightInd w:val="0"/>
        <w:rPr>
          <w:rFonts w:ascii="Calibri" w:eastAsia="Calibri" w:hAnsi="Calibri" w:cs="Calibri"/>
          <w:spacing w:val="-3"/>
          <w:shd w:val="clear" w:color="auto" w:fill="FFFFFF"/>
        </w:rPr>
      </w:pPr>
      <w:r>
        <w:rPr>
          <w:rFonts w:ascii="Calibri" w:eastAsia="Calibri" w:hAnsi="Calibri" w:cs="Calibri"/>
          <w:spacing w:val="-3"/>
          <w:shd w:val="clear" w:color="auto" w:fill="FFFFFF"/>
        </w:rPr>
        <w:lastRenderedPageBreak/>
        <w:t xml:space="preserve">All of these goals are important to LGBT people. Without SO/GI data collection by providers, how can we reduce LGBT health disparities? How can we engage LGBT patients and their families, and improve care coordination? How can we improve LGBT population health and public health? </w:t>
      </w:r>
      <w:r w:rsidR="00A86129">
        <w:rPr>
          <w:rFonts w:ascii="Calibri" w:eastAsia="Calibri" w:hAnsi="Calibri" w:cs="Calibri"/>
          <w:spacing w:val="-3"/>
          <w:shd w:val="clear" w:color="auto" w:fill="FFFFFF"/>
        </w:rPr>
        <w:t xml:space="preserve">In order to substantively </w:t>
      </w:r>
      <w:r w:rsidR="00CE5277">
        <w:rPr>
          <w:rFonts w:ascii="Calibri" w:eastAsia="Calibri" w:hAnsi="Calibri" w:cs="Calibri"/>
          <w:spacing w:val="-3"/>
          <w:shd w:val="clear" w:color="auto" w:fill="FFFFFF"/>
        </w:rPr>
        <w:t>a</w:t>
      </w:r>
      <w:r w:rsidR="00A86129">
        <w:rPr>
          <w:rFonts w:ascii="Calibri" w:eastAsia="Calibri" w:hAnsi="Calibri" w:cs="Calibri"/>
          <w:spacing w:val="-3"/>
          <w:shd w:val="clear" w:color="auto" w:fill="FFFFFF"/>
        </w:rPr>
        <w:t>dvance</w:t>
      </w:r>
      <w:r w:rsidR="00CE5277">
        <w:rPr>
          <w:rFonts w:ascii="Calibri" w:eastAsia="Calibri" w:hAnsi="Calibri" w:cs="Calibri"/>
          <w:spacing w:val="-3"/>
          <w:shd w:val="clear" w:color="auto" w:fill="FFFFFF"/>
        </w:rPr>
        <w:t xml:space="preserve"> the goals of the Meaningfu</w:t>
      </w:r>
      <w:r w:rsidR="00A86129">
        <w:rPr>
          <w:rFonts w:ascii="Calibri" w:eastAsia="Calibri" w:hAnsi="Calibri" w:cs="Calibri"/>
          <w:spacing w:val="-3"/>
          <w:shd w:val="clear" w:color="auto" w:fill="FFFFFF"/>
        </w:rPr>
        <w:t>l Use program</w:t>
      </w:r>
      <w:r w:rsidR="00070D79">
        <w:rPr>
          <w:rFonts w:ascii="Calibri" w:eastAsia="Calibri" w:hAnsi="Calibri" w:cs="Calibri"/>
          <w:spacing w:val="-3"/>
          <w:shd w:val="clear" w:color="auto" w:fill="FFFFFF"/>
        </w:rPr>
        <w:t>, the collection of SO/GI should at a minimum be recommended and incentivized, if not required.</w:t>
      </w:r>
      <w:r w:rsidR="003751B2">
        <w:rPr>
          <w:rFonts w:ascii="Calibri" w:eastAsia="Calibri" w:hAnsi="Calibri" w:cs="Calibri"/>
          <w:spacing w:val="-3"/>
          <w:shd w:val="clear" w:color="auto" w:fill="FFFFFF"/>
        </w:rPr>
        <w:t xml:space="preserve"> </w:t>
      </w:r>
    </w:p>
    <w:p w14:paraId="5065CF74" w14:textId="77777777" w:rsidR="003751B2" w:rsidRDefault="003751B2" w:rsidP="00CE7278">
      <w:pPr>
        <w:autoSpaceDE w:val="0"/>
        <w:autoSpaceDN w:val="0"/>
        <w:adjustRightInd w:val="0"/>
        <w:rPr>
          <w:rFonts w:ascii="Calibri" w:eastAsia="Calibri" w:hAnsi="Calibri" w:cs="Calibri"/>
          <w:spacing w:val="-3"/>
          <w:shd w:val="clear" w:color="auto" w:fill="FFFFFF"/>
        </w:rPr>
      </w:pPr>
    </w:p>
    <w:p w14:paraId="6CD463D0" w14:textId="307F2105" w:rsidR="003751B2" w:rsidRDefault="003751B2" w:rsidP="00CE7278">
      <w:pPr>
        <w:autoSpaceDE w:val="0"/>
        <w:autoSpaceDN w:val="0"/>
        <w:adjustRightInd w:val="0"/>
        <w:rPr>
          <w:rFonts w:ascii="Calibri" w:eastAsia="Calibri" w:hAnsi="Calibri" w:cs="Calibri"/>
          <w:spacing w:val="-3"/>
          <w:shd w:val="clear" w:color="auto" w:fill="FFFFFF"/>
        </w:rPr>
      </w:pPr>
      <w:r>
        <w:rPr>
          <w:rFonts w:ascii="Calibri" w:eastAsia="Calibri" w:hAnsi="Calibri" w:cs="Calibri"/>
          <w:spacing w:val="-3"/>
          <w:shd w:val="clear" w:color="auto" w:fill="FFFFFF"/>
        </w:rPr>
        <w:t xml:space="preserve">While the inclusion of SO/GI was considered during the Stage 2 rule making process, SO/GI were ultimately not included because of an alleged lack of consensus on how to measure these concepts and because some commenters questioned the clinical significance of providers asking their patients about SO/GI. </w:t>
      </w:r>
      <w:r w:rsidR="00FC681E">
        <w:rPr>
          <w:rFonts w:ascii="Calibri" w:eastAsia="Calibri" w:hAnsi="Calibri" w:cs="Calibri"/>
          <w:spacing w:val="-3"/>
          <w:shd w:val="clear" w:color="auto" w:fill="FFFFFF"/>
        </w:rPr>
        <w:t xml:space="preserve">Since then researchers with the Community Health Applied Research Network demonstrated that SO/GI questions are acceptable to a diverse patient population in health centers that are diverse in terms of geography, region, race/ethnicity, sexual orientation, and age. </w:t>
      </w:r>
      <w:r>
        <w:rPr>
          <w:rStyle w:val="EndnoteReference"/>
          <w:rFonts w:ascii="Calibri" w:eastAsia="Calibri" w:hAnsi="Calibri" w:cs="Calibri"/>
          <w:spacing w:val="-3"/>
          <w:shd w:val="clear" w:color="auto" w:fill="FFFFFF"/>
        </w:rPr>
        <w:endnoteReference w:id="13"/>
      </w:r>
      <w:r>
        <w:rPr>
          <w:rFonts w:ascii="Calibri" w:eastAsia="Calibri" w:hAnsi="Calibri" w:cs="Calibri"/>
          <w:spacing w:val="-3"/>
          <w:shd w:val="clear" w:color="auto" w:fill="FFFFFF"/>
        </w:rPr>
        <w:t xml:space="preserve"> </w:t>
      </w:r>
      <w:r w:rsidR="00FC681E">
        <w:rPr>
          <w:rFonts w:ascii="Calibri" w:eastAsia="Calibri" w:hAnsi="Calibri" w:cs="Calibri"/>
          <w:spacing w:val="-3"/>
          <w:shd w:val="clear" w:color="auto" w:fill="FFFFFF"/>
        </w:rPr>
        <w:t xml:space="preserve">And </w:t>
      </w:r>
      <w:r w:rsidR="00B43D85">
        <w:rPr>
          <w:rFonts w:ascii="Calibri" w:eastAsia="Calibri" w:hAnsi="Calibri" w:cs="Calibri"/>
          <w:spacing w:val="-3"/>
          <w:shd w:val="clear" w:color="auto" w:fill="FFFFFF"/>
        </w:rPr>
        <w:t>more than 150 organizations representing</w:t>
      </w:r>
      <w:r w:rsidR="00FC681E">
        <w:rPr>
          <w:rFonts w:ascii="Calibri" w:eastAsia="Calibri" w:hAnsi="Calibri" w:cs="Calibri"/>
          <w:spacing w:val="-3"/>
          <w:shd w:val="clear" w:color="auto" w:fill="FFFFFF"/>
        </w:rPr>
        <w:t xml:space="preserve"> health care researchers, providers, and </w:t>
      </w:r>
      <w:r w:rsidR="00B43D85">
        <w:rPr>
          <w:rFonts w:ascii="Calibri" w:eastAsia="Calibri" w:hAnsi="Calibri" w:cs="Calibri"/>
          <w:spacing w:val="-3"/>
          <w:shd w:val="clear" w:color="auto" w:fill="FFFFFF"/>
        </w:rPr>
        <w:t>professional organizations</w:t>
      </w:r>
      <w:r w:rsidR="00FC681E">
        <w:rPr>
          <w:rFonts w:ascii="Calibri" w:eastAsia="Calibri" w:hAnsi="Calibri" w:cs="Calibri"/>
          <w:spacing w:val="-3"/>
          <w:shd w:val="clear" w:color="auto" w:fill="FFFFFF"/>
        </w:rPr>
        <w:t xml:space="preserve"> has expressed support for asking SO/GI questions in clinical settings and tracking this information in EHRs.</w:t>
      </w:r>
      <w:r w:rsidR="00FC681E">
        <w:rPr>
          <w:rStyle w:val="EndnoteReference"/>
          <w:rFonts w:ascii="Calibri" w:eastAsia="Calibri" w:hAnsi="Calibri" w:cs="Calibri"/>
          <w:spacing w:val="-3"/>
          <w:shd w:val="clear" w:color="auto" w:fill="FFFFFF"/>
        </w:rPr>
        <w:endnoteReference w:id="14"/>
      </w:r>
      <w:r w:rsidR="00FC681E">
        <w:rPr>
          <w:rFonts w:ascii="Calibri" w:eastAsia="Calibri" w:hAnsi="Calibri" w:cs="Calibri"/>
          <w:spacing w:val="-3"/>
          <w:shd w:val="clear" w:color="auto" w:fill="FFFFFF"/>
        </w:rPr>
        <w:t>,</w:t>
      </w:r>
      <w:r w:rsidR="00FC681E">
        <w:rPr>
          <w:rStyle w:val="EndnoteReference"/>
          <w:rFonts w:ascii="Calibri" w:eastAsia="Calibri" w:hAnsi="Calibri" w:cs="Calibri"/>
          <w:spacing w:val="-3"/>
          <w:shd w:val="clear" w:color="auto" w:fill="FFFFFF"/>
        </w:rPr>
        <w:endnoteReference w:id="15"/>
      </w:r>
      <w:r w:rsidR="00FC681E">
        <w:rPr>
          <w:rFonts w:ascii="Calibri" w:eastAsia="Calibri" w:hAnsi="Calibri" w:cs="Calibri"/>
          <w:spacing w:val="-3"/>
          <w:shd w:val="clear" w:color="auto" w:fill="FFFFFF"/>
        </w:rPr>
        <w:t xml:space="preserve"> </w:t>
      </w:r>
      <w:r w:rsidR="00B43D85" w:rsidRPr="00B43D85">
        <w:rPr>
          <w:rFonts w:ascii="Calibri" w:eastAsia="Calibri" w:hAnsi="Calibri" w:cs="Calibri"/>
          <w:b/>
          <w:spacing w:val="-3"/>
          <w:shd w:val="clear" w:color="auto" w:fill="FFFFFF"/>
        </w:rPr>
        <w:t>There is a strong consensus regarding how to ask SO/GI questions in clinical settings and the importance of tracking these data in EHRs.</w:t>
      </w:r>
    </w:p>
    <w:p w14:paraId="3BA0AB6F" w14:textId="77777777" w:rsidR="00070D79" w:rsidRDefault="00070D79" w:rsidP="00CE7278">
      <w:pPr>
        <w:autoSpaceDE w:val="0"/>
        <w:autoSpaceDN w:val="0"/>
        <w:adjustRightInd w:val="0"/>
        <w:rPr>
          <w:rFonts w:ascii="Calibri" w:eastAsia="Calibri" w:hAnsi="Calibri" w:cs="Calibri"/>
          <w:spacing w:val="-3"/>
          <w:shd w:val="clear" w:color="auto" w:fill="FFFFFF"/>
        </w:rPr>
      </w:pPr>
    </w:p>
    <w:p w14:paraId="76470A14" w14:textId="05461415" w:rsidR="00083F29" w:rsidRDefault="000D5694" w:rsidP="000D5694">
      <w:pPr>
        <w:autoSpaceDE w:val="0"/>
        <w:autoSpaceDN w:val="0"/>
        <w:adjustRightInd w:val="0"/>
        <w:rPr>
          <w:rFonts w:ascii="Calibri" w:hAnsi="Calibri"/>
        </w:rPr>
      </w:pPr>
      <w:r>
        <w:rPr>
          <w:rFonts w:ascii="Calibri" w:eastAsia="Calibri" w:hAnsi="Calibri" w:cs="Calibri"/>
          <w:spacing w:val="-3"/>
          <w:shd w:val="clear" w:color="auto" w:fill="FFFFFF"/>
        </w:rPr>
        <w:t xml:space="preserve">We recently commented on the draft Interoperability Standards Advisory published by the Office of the National Coordinator of Health Information Technology on January 28, 2015. This advisory identified </w:t>
      </w:r>
      <w:r w:rsidR="002C5D44">
        <w:rPr>
          <w:rFonts w:ascii="Calibri" w:eastAsia="Calibri" w:hAnsi="Calibri" w:cs="Calibri"/>
          <w:spacing w:val="-3"/>
          <w:shd w:val="clear" w:color="auto" w:fill="FFFFFF"/>
        </w:rPr>
        <w:t xml:space="preserve">SNOMED </w:t>
      </w:r>
      <w:r w:rsidR="000D2177">
        <w:rPr>
          <w:rFonts w:ascii="Calibri" w:eastAsia="Calibri" w:hAnsi="Calibri" w:cs="Calibri"/>
          <w:spacing w:val="-3"/>
          <w:shd w:val="clear" w:color="auto" w:fill="FFFFFF"/>
        </w:rPr>
        <w:t xml:space="preserve">CT </w:t>
      </w:r>
      <w:r w:rsidR="002C5D44">
        <w:rPr>
          <w:rFonts w:ascii="Calibri" w:eastAsia="Calibri" w:hAnsi="Calibri" w:cs="Calibri"/>
          <w:spacing w:val="-3"/>
          <w:shd w:val="clear" w:color="auto" w:fill="FFFFFF"/>
        </w:rPr>
        <w:t>codes</w:t>
      </w:r>
      <w:r>
        <w:rPr>
          <w:rFonts w:ascii="Calibri" w:eastAsia="Calibri" w:hAnsi="Calibri" w:cs="Calibri"/>
          <w:spacing w:val="-3"/>
          <w:shd w:val="clear" w:color="auto" w:fill="FFFFFF"/>
        </w:rPr>
        <w:t xml:space="preserve"> for sexual orientation and gender identity. In our May 1, 2015 comment, </w:t>
      </w:r>
      <w:r>
        <w:rPr>
          <w:rFonts w:ascii="Calibri" w:hAnsi="Calibri"/>
        </w:rPr>
        <w:t>w</w:t>
      </w:r>
      <w:r w:rsidR="005D35C3">
        <w:rPr>
          <w:rFonts w:ascii="Calibri" w:hAnsi="Calibri"/>
        </w:rPr>
        <w:t>e</w:t>
      </w:r>
      <w:r w:rsidR="00083F29" w:rsidRPr="00083F29">
        <w:rPr>
          <w:rFonts w:ascii="Calibri" w:hAnsi="Calibri"/>
        </w:rPr>
        <w:t xml:space="preserve"> </w:t>
      </w:r>
      <w:r w:rsidR="00CE4F94">
        <w:rPr>
          <w:rFonts w:ascii="Calibri" w:hAnsi="Calibri"/>
        </w:rPr>
        <w:t>commend</w:t>
      </w:r>
      <w:r>
        <w:rPr>
          <w:rFonts w:ascii="Calibri" w:hAnsi="Calibri"/>
        </w:rPr>
        <w:t>ed</w:t>
      </w:r>
      <w:r w:rsidR="00CE4F94">
        <w:rPr>
          <w:rFonts w:ascii="Calibri" w:hAnsi="Calibri"/>
        </w:rPr>
        <w:t xml:space="preserve"> ONC for including </w:t>
      </w:r>
      <w:r>
        <w:rPr>
          <w:rFonts w:ascii="Calibri" w:hAnsi="Calibri"/>
        </w:rPr>
        <w:t>SO/GI</w:t>
      </w:r>
      <w:r w:rsidR="00CE4F94">
        <w:rPr>
          <w:rFonts w:ascii="Calibri" w:hAnsi="Calibri"/>
        </w:rPr>
        <w:t xml:space="preserve"> in the </w:t>
      </w:r>
      <w:r w:rsidR="00CE4F94" w:rsidRPr="000D5694">
        <w:rPr>
          <w:rFonts w:ascii="Calibri" w:hAnsi="Calibri"/>
        </w:rPr>
        <w:t>draft Interoperability Standards Advisory</w:t>
      </w:r>
      <w:r w:rsidR="000D2177">
        <w:rPr>
          <w:rFonts w:ascii="Calibri" w:hAnsi="Calibri"/>
          <w:i/>
        </w:rPr>
        <w:t xml:space="preserve">. </w:t>
      </w:r>
      <w:r w:rsidR="00690733">
        <w:rPr>
          <w:rFonts w:ascii="Calibri" w:hAnsi="Calibri"/>
        </w:rPr>
        <w:t>We</w:t>
      </w:r>
      <w:r w:rsidR="000D2177">
        <w:rPr>
          <w:rFonts w:ascii="Calibri" w:hAnsi="Calibri"/>
        </w:rPr>
        <w:t xml:space="preserve"> encourage</w:t>
      </w:r>
      <w:r>
        <w:rPr>
          <w:rFonts w:ascii="Calibri" w:hAnsi="Calibri"/>
        </w:rPr>
        <w:t>d</w:t>
      </w:r>
      <w:r w:rsidR="000D2177">
        <w:rPr>
          <w:rFonts w:ascii="Calibri" w:hAnsi="Calibri"/>
        </w:rPr>
        <w:t xml:space="preserve"> </w:t>
      </w:r>
      <w:r w:rsidR="00690733">
        <w:rPr>
          <w:rFonts w:ascii="Calibri" w:hAnsi="Calibri"/>
        </w:rPr>
        <w:t>ONC</w:t>
      </w:r>
      <w:r w:rsidR="00240517">
        <w:rPr>
          <w:rFonts w:ascii="Calibri" w:hAnsi="Calibri"/>
        </w:rPr>
        <w:t xml:space="preserve"> to work with the N</w:t>
      </w:r>
      <w:r>
        <w:rPr>
          <w:rFonts w:ascii="Calibri" w:hAnsi="Calibri"/>
        </w:rPr>
        <w:t xml:space="preserve">ational </w:t>
      </w:r>
      <w:r w:rsidR="00240517">
        <w:rPr>
          <w:rFonts w:ascii="Calibri" w:hAnsi="Calibri"/>
        </w:rPr>
        <w:t>L</w:t>
      </w:r>
      <w:r>
        <w:rPr>
          <w:rFonts w:ascii="Calibri" w:hAnsi="Calibri"/>
        </w:rPr>
        <w:t xml:space="preserve">ibrary of </w:t>
      </w:r>
      <w:r w:rsidR="00240517">
        <w:rPr>
          <w:rFonts w:ascii="Calibri" w:hAnsi="Calibri"/>
        </w:rPr>
        <w:t>M</w:t>
      </w:r>
      <w:r>
        <w:rPr>
          <w:rFonts w:ascii="Calibri" w:hAnsi="Calibri"/>
        </w:rPr>
        <w:t>edicine</w:t>
      </w:r>
      <w:r w:rsidR="00240517">
        <w:rPr>
          <w:rFonts w:ascii="Calibri" w:hAnsi="Calibri"/>
        </w:rPr>
        <w:t xml:space="preserve"> </w:t>
      </w:r>
      <w:r>
        <w:rPr>
          <w:rFonts w:ascii="Calibri" w:hAnsi="Calibri"/>
        </w:rPr>
        <w:t>to improve</w:t>
      </w:r>
      <w:r w:rsidR="00240517">
        <w:rPr>
          <w:rFonts w:ascii="Calibri" w:hAnsi="Calibri"/>
        </w:rPr>
        <w:t xml:space="preserve"> the existing </w:t>
      </w:r>
      <w:r w:rsidR="00B24190">
        <w:rPr>
          <w:rFonts w:ascii="Calibri" w:hAnsi="Calibri"/>
        </w:rPr>
        <w:t xml:space="preserve">SNOMED CT </w:t>
      </w:r>
      <w:r w:rsidR="00240517">
        <w:rPr>
          <w:rFonts w:ascii="Calibri" w:hAnsi="Calibri"/>
        </w:rPr>
        <w:t xml:space="preserve">codes and to </w:t>
      </w:r>
      <w:r w:rsidR="000B4838">
        <w:rPr>
          <w:rFonts w:ascii="Calibri" w:hAnsi="Calibri"/>
        </w:rPr>
        <w:t xml:space="preserve">use this opportunity to </w:t>
      </w:r>
      <w:r w:rsidR="00924D38">
        <w:rPr>
          <w:rFonts w:ascii="Calibri" w:hAnsi="Calibri"/>
        </w:rPr>
        <w:t xml:space="preserve">institute </w:t>
      </w:r>
      <w:r w:rsidR="000B4838">
        <w:rPr>
          <w:rFonts w:ascii="Calibri" w:hAnsi="Calibri"/>
        </w:rPr>
        <w:t>a</w:t>
      </w:r>
      <w:r w:rsidR="003F689B">
        <w:rPr>
          <w:rFonts w:ascii="Calibri" w:hAnsi="Calibri"/>
        </w:rPr>
        <w:t>doption of</w:t>
      </w:r>
      <w:r w:rsidR="000B4838">
        <w:rPr>
          <w:rFonts w:ascii="Calibri" w:hAnsi="Calibri"/>
        </w:rPr>
        <w:t xml:space="preserve"> </w:t>
      </w:r>
      <w:r w:rsidR="0013279C">
        <w:rPr>
          <w:rFonts w:ascii="Calibri" w:hAnsi="Calibri"/>
        </w:rPr>
        <w:t xml:space="preserve">a </w:t>
      </w:r>
      <w:r w:rsidR="000B4838">
        <w:rPr>
          <w:rFonts w:ascii="Calibri" w:hAnsi="Calibri"/>
        </w:rPr>
        <w:t>single standard of SO/GI questions and answers that were developed with LGBT community input and validated in peer-reviewed research.</w:t>
      </w:r>
      <w:r>
        <w:rPr>
          <w:rStyle w:val="EndnoteReference"/>
          <w:rFonts w:ascii="Calibri" w:hAnsi="Calibri"/>
        </w:rPr>
        <w:endnoteReference w:id="16"/>
      </w:r>
      <w:r w:rsidR="00690733">
        <w:rPr>
          <w:rFonts w:ascii="Calibri" w:hAnsi="Calibri"/>
        </w:rPr>
        <w:t xml:space="preserve"> </w:t>
      </w:r>
    </w:p>
    <w:p w14:paraId="4425D4E5" w14:textId="77777777" w:rsidR="00BA1624" w:rsidRDefault="00BA1624" w:rsidP="000D5694">
      <w:pPr>
        <w:autoSpaceDE w:val="0"/>
        <w:autoSpaceDN w:val="0"/>
        <w:adjustRightInd w:val="0"/>
        <w:rPr>
          <w:rFonts w:ascii="Calibri" w:hAnsi="Calibri"/>
        </w:rPr>
      </w:pPr>
    </w:p>
    <w:p w14:paraId="7A653818" w14:textId="587DAE14" w:rsidR="00BA1624" w:rsidRPr="000D5694" w:rsidRDefault="00BA1624" w:rsidP="000D5694">
      <w:pPr>
        <w:autoSpaceDE w:val="0"/>
        <w:autoSpaceDN w:val="0"/>
        <w:adjustRightInd w:val="0"/>
        <w:rPr>
          <w:rFonts w:ascii="Calibri" w:eastAsia="Calibri" w:hAnsi="Calibri" w:cs="Calibri"/>
          <w:spacing w:val="-3"/>
          <w:shd w:val="clear" w:color="auto" w:fill="FFFFFF"/>
        </w:rPr>
      </w:pPr>
      <w:r>
        <w:rPr>
          <w:rFonts w:ascii="Calibri" w:hAnsi="Calibri"/>
        </w:rPr>
        <w:t xml:space="preserve">We know that ONC has </w:t>
      </w:r>
      <w:r w:rsidR="004D7A33">
        <w:rPr>
          <w:rFonts w:ascii="Calibri" w:hAnsi="Calibri"/>
        </w:rPr>
        <w:t>proposed to require that a health IT module enable a user to record, change, and acess</w:t>
      </w:r>
      <w:r>
        <w:rPr>
          <w:rFonts w:ascii="Calibri" w:hAnsi="Calibri"/>
        </w:rPr>
        <w:t xml:space="preserve"> SO/GI </w:t>
      </w:r>
      <w:r w:rsidR="004D7A33">
        <w:rPr>
          <w:rFonts w:ascii="Calibri" w:hAnsi="Calibri"/>
        </w:rPr>
        <w:t xml:space="preserve">data </w:t>
      </w:r>
      <w:r>
        <w:rPr>
          <w:rFonts w:ascii="Calibri" w:hAnsi="Calibri"/>
        </w:rPr>
        <w:t xml:space="preserve">in its proposed Certified </w:t>
      </w:r>
      <w:r w:rsidR="004D7A33">
        <w:rPr>
          <w:rFonts w:ascii="Calibri" w:hAnsi="Calibri"/>
        </w:rPr>
        <w:t xml:space="preserve">Health IT </w:t>
      </w:r>
      <w:r>
        <w:rPr>
          <w:rFonts w:ascii="Calibri" w:hAnsi="Calibri"/>
        </w:rPr>
        <w:t xml:space="preserve">rule. </w:t>
      </w:r>
      <w:r w:rsidR="009029F4">
        <w:rPr>
          <w:rFonts w:ascii="Calibri" w:hAnsi="Calibri"/>
        </w:rPr>
        <w:t>In our comment to ONC we commend them for this</w:t>
      </w:r>
      <w:r w:rsidR="0010307C">
        <w:rPr>
          <w:rFonts w:ascii="Calibri" w:hAnsi="Calibri"/>
        </w:rPr>
        <w:t>, and urge them to include SO/GI in the Demographics criterion (as included in the Base EHR definition) and in the Common Clinical Data Set</w:t>
      </w:r>
      <w:r w:rsidR="009029F4">
        <w:rPr>
          <w:rFonts w:ascii="Calibri" w:hAnsi="Calibri"/>
        </w:rPr>
        <w:t xml:space="preserve">. </w:t>
      </w:r>
      <w:r>
        <w:rPr>
          <w:rFonts w:ascii="Calibri" w:hAnsi="Calibri"/>
        </w:rPr>
        <w:t>Such inclusion could increase the incorporation of SO/GI fields in</w:t>
      </w:r>
      <w:r w:rsidR="009029F4">
        <w:rPr>
          <w:rFonts w:ascii="Calibri" w:hAnsi="Calibri"/>
        </w:rPr>
        <w:t>to</w:t>
      </w:r>
      <w:r>
        <w:rPr>
          <w:rFonts w:ascii="Calibri" w:hAnsi="Calibri"/>
        </w:rPr>
        <w:t xml:space="preserve"> EHR software. However, this would do nothing to encourage the collection of SO/GI data </w:t>
      </w:r>
      <w:r w:rsidR="009029F4">
        <w:rPr>
          <w:rFonts w:ascii="Calibri" w:hAnsi="Calibri"/>
        </w:rPr>
        <w:t xml:space="preserve">by providers, </w:t>
      </w:r>
      <w:r>
        <w:rPr>
          <w:rFonts w:ascii="Calibri" w:hAnsi="Calibri"/>
        </w:rPr>
        <w:t>and its use to improve patient care</w:t>
      </w:r>
      <w:r w:rsidR="003751B2">
        <w:rPr>
          <w:rFonts w:ascii="Calibri" w:hAnsi="Calibri"/>
        </w:rPr>
        <w:t>, for example in decision support for preventive screenings</w:t>
      </w:r>
      <w:r w:rsidR="009029F4">
        <w:rPr>
          <w:rFonts w:ascii="Calibri" w:hAnsi="Calibri"/>
        </w:rPr>
        <w:t xml:space="preserve">. </w:t>
      </w:r>
      <w:r>
        <w:rPr>
          <w:rFonts w:ascii="Calibri" w:hAnsi="Calibri"/>
        </w:rPr>
        <w:t>It would do nothing to reduce LGBT disparities.</w:t>
      </w:r>
      <w:r w:rsidR="003751B2">
        <w:rPr>
          <w:rFonts w:ascii="Calibri" w:hAnsi="Calibri"/>
        </w:rPr>
        <w:t xml:space="preserve"> </w:t>
      </w:r>
      <w:r w:rsidR="003751B2" w:rsidRPr="003751B2">
        <w:rPr>
          <w:rFonts w:ascii="Calibri" w:hAnsi="Calibri"/>
          <w:b/>
        </w:rPr>
        <w:t>Only the explicit inclusion of SO/GI in the Stage 3 Meaningful Use guidelines can accomplish this objective.</w:t>
      </w:r>
    </w:p>
    <w:p w14:paraId="1E5AA43E" w14:textId="77777777" w:rsidR="00083F29" w:rsidRPr="00083F29" w:rsidRDefault="00083F29" w:rsidP="00083F29">
      <w:pPr>
        <w:rPr>
          <w:rFonts w:ascii="Calibri" w:hAnsi="Calibri"/>
        </w:rPr>
      </w:pPr>
    </w:p>
    <w:p w14:paraId="03094CDD" w14:textId="62E6D10D" w:rsidR="003751B2" w:rsidRDefault="00083F29" w:rsidP="00083F29">
      <w:pPr>
        <w:rPr>
          <w:rFonts w:ascii="Calibri" w:hAnsi="Calibri"/>
        </w:rPr>
      </w:pPr>
      <w:r w:rsidRPr="00BA1624">
        <w:rPr>
          <w:rFonts w:ascii="Calibri" w:hAnsi="Calibri"/>
          <w:b/>
        </w:rPr>
        <w:t xml:space="preserve">We </w:t>
      </w:r>
      <w:r w:rsidR="00BA1624" w:rsidRPr="00BA1624">
        <w:rPr>
          <w:rFonts w:ascii="Calibri" w:hAnsi="Calibri"/>
          <w:b/>
        </w:rPr>
        <w:t xml:space="preserve">strongly urge CMS to reconsider the proposed rule, and explicitly </w:t>
      </w:r>
      <w:r w:rsidR="004D7A33">
        <w:rPr>
          <w:rFonts w:ascii="Calibri" w:hAnsi="Calibri"/>
          <w:b/>
        </w:rPr>
        <w:t>require the collection and use of</w:t>
      </w:r>
      <w:r w:rsidR="00BA1624" w:rsidRPr="00BA1624">
        <w:rPr>
          <w:rFonts w:ascii="Calibri" w:hAnsi="Calibri"/>
          <w:b/>
        </w:rPr>
        <w:t xml:space="preserve"> SO/GI </w:t>
      </w:r>
      <w:r w:rsidR="004D7A33">
        <w:rPr>
          <w:rFonts w:ascii="Calibri" w:hAnsi="Calibri"/>
          <w:b/>
        </w:rPr>
        <w:t xml:space="preserve">data </w:t>
      </w:r>
      <w:r w:rsidR="00BA1624" w:rsidRPr="00BA1624">
        <w:rPr>
          <w:rFonts w:ascii="Calibri" w:hAnsi="Calibri"/>
          <w:b/>
        </w:rPr>
        <w:t xml:space="preserve">in Stage 3 Meaningful Use. </w:t>
      </w:r>
      <w:r w:rsidR="008F1679">
        <w:rPr>
          <w:rFonts w:ascii="Calibri" w:hAnsi="Calibri"/>
          <w:b/>
        </w:rPr>
        <w:t xml:space="preserve">Promoting </w:t>
      </w:r>
      <w:r w:rsidR="00BA1624">
        <w:rPr>
          <w:rFonts w:ascii="Calibri" w:hAnsi="Calibri"/>
          <w:b/>
        </w:rPr>
        <w:t>SO/GI data collection in EHRs</w:t>
      </w:r>
      <w:r w:rsidR="00BA1624" w:rsidRPr="00BA1624">
        <w:rPr>
          <w:rFonts w:ascii="Calibri" w:hAnsi="Calibri"/>
          <w:b/>
        </w:rPr>
        <w:t xml:space="preserve"> is </w:t>
      </w:r>
      <w:r w:rsidR="00BA1624">
        <w:rPr>
          <w:rFonts w:ascii="Calibri" w:hAnsi="Calibri"/>
          <w:b/>
        </w:rPr>
        <w:t xml:space="preserve">the most important thing the federal government could do right now to address LGBT health disparities. CMS’s failure to due this would represent a major missed opportunity to encourage providers to discuss SO/GI with their patients, and a major missed opportunity to address LGBT health disparities and improve health care for LGBT people. </w:t>
      </w:r>
      <w:r w:rsidR="00BA1624">
        <w:rPr>
          <w:rFonts w:ascii="Calibri" w:hAnsi="Calibri"/>
        </w:rPr>
        <w:t>Explicit inclusion</w:t>
      </w:r>
      <w:r w:rsidR="003751B2">
        <w:rPr>
          <w:rFonts w:ascii="Calibri" w:hAnsi="Calibri"/>
        </w:rPr>
        <w:t xml:space="preserve"> of SO/GI in Stage 3 Meaningful Use </w:t>
      </w:r>
      <w:r w:rsidR="00BA1624">
        <w:rPr>
          <w:rFonts w:ascii="Calibri" w:hAnsi="Calibri"/>
        </w:rPr>
        <w:t>is essential</w:t>
      </w:r>
      <w:r w:rsidRPr="00083F29">
        <w:rPr>
          <w:rFonts w:ascii="Calibri" w:hAnsi="Calibri"/>
        </w:rPr>
        <w:t xml:space="preserve"> to improve data collection in EHRs and increase health information exchange to improve health outcomes</w:t>
      </w:r>
      <w:r w:rsidR="000B4838">
        <w:rPr>
          <w:rFonts w:ascii="Calibri" w:hAnsi="Calibri"/>
        </w:rPr>
        <w:t xml:space="preserve"> for LGBT </w:t>
      </w:r>
      <w:r w:rsidR="0010307C">
        <w:rPr>
          <w:rFonts w:ascii="Calibri" w:hAnsi="Calibri"/>
        </w:rPr>
        <w:t>patients</w:t>
      </w:r>
      <w:r w:rsidRPr="00083F29">
        <w:rPr>
          <w:rFonts w:ascii="Calibri" w:hAnsi="Calibri"/>
        </w:rPr>
        <w:t xml:space="preserve">. </w:t>
      </w:r>
    </w:p>
    <w:p w14:paraId="396638B9" w14:textId="77777777" w:rsidR="003751B2" w:rsidRDefault="003751B2" w:rsidP="00083F29">
      <w:pPr>
        <w:rPr>
          <w:rFonts w:ascii="Calibri" w:hAnsi="Calibri"/>
        </w:rPr>
      </w:pPr>
    </w:p>
    <w:p w14:paraId="165BA57C" w14:textId="5E7C0FF9" w:rsidR="00083F29" w:rsidRPr="00083F29" w:rsidRDefault="003751B2" w:rsidP="00083F29">
      <w:pPr>
        <w:rPr>
          <w:rFonts w:ascii="Calibri" w:hAnsi="Calibri"/>
        </w:rPr>
      </w:pPr>
      <w:r>
        <w:rPr>
          <w:rFonts w:ascii="Calibri" w:hAnsi="Calibri"/>
        </w:rPr>
        <w:t xml:space="preserve">Thank you for considering this comment. </w:t>
      </w:r>
      <w:r w:rsidR="0010307C">
        <w:rPr>
          <w:rFonts w:ascii="Calibri" w:hAnsi="Calibri"/>
        </w:rPr>
        <w:t xml:space="preserve">We look forward to continuing to work with CMS and ONC to improve SO/GI data collection in EHRs to better understand and reduce LGBT health disparities. </w:t>
      </w:r>
      <w:bookmarkStart w:id="0" w:name="_GoBack"/>
      <w:bookmarkEnd w:id="0"/>
      <w:r w:rsidR="00083F29" w:rsidRPr="00083F29">
        <w:rPr>
          <w:rFonts w:ascii="Calibri" w:hAnsi="Calibri"/>
        </w:rPr>
        <w:t>Should you have any questions</w:t>
      </w:r>
      <w:r w:rsidR="00B43D85">
        <w:rPr>
          <w:rFonts w:ascii="Calibri" w:hAnsi="Calibri"/>
        </w:rPr>
        <w:t xml:space="preserve"> or wish to discuss these issues</w:t>
      </w:r>
      <w:r w:rsidR="00083F29" w:rsidRPr="00083F29">
        <w:rPr>
          <w:rFonts w:ascii="Calibri" w:hAnsi="Calibri"/>
        </w:rPr>
        <w:t xml:space="preserve">, please contact </w:t>
      </w:r>
      <w:r w:rsidR="00F5032C">
        <w:rPr>
          <w:rFonts w:ascii="Calibri" w:hAnsi="Calibri"/>
        </w:rPr>
        <w:t>Harvey Makadon, M.D.</w:t>
      </w:r>
      <w:r w:rsidR="00B43D85">
        <w:rPr>
          <w:rFonts w:ascii="Calibri" w:hAnsi="Calibri"/>
        </w:rPr>
        <w:t xml:space="preserve">, Director </w:t>
      </w:r>
      <w:r w:rsidR="00B43D85">
        <w:rPr>
          <w:rFonts w:ascii="Calibri" w:hAnsi="Calibri"/>
        </w:rPr>
        <w:lastRenderedPageBreak/>
        <w:t xml:space="preserve">of </w:t>
      </w:r>
      <w:r w:rsidR="00F5032C">
        <w:rPr>
          <w:rFonts w:ascii="Calibri" w:hAnsi="Calibri"/>
        </w:rPr>
        <w:t>Education and Training</w:t>
      </w:r>
      <w:r w:rsidR="00B43D85">
        <w:rPr>
          <w:rFonts w:ascii="Calibri" w:hAnsi="Calibri"/>
        </w:rPr>
        <w:t xml:space="preserve"> at the Fenway Institute,</w:t>
      </w:r>
      <w:r w:rsidR="00083F29" w:rsidRPr="00083F29">
        <w:rPr>
          <w:rFonts w:ascii="Calibri" w:hAnsi="Calibri"/>
        </w:rPr>
        <w:t xml:space="preserve"> at </w:t>
      </w:r>
      <w:hyperlink r:id="rId9" w:history="1">
        <w:r w:rsidR="00F5032C">
          <w:rPr>
            <w:rFonts w:ascii="Calibri" w:hAnsi="Calibri"/>
            <w:color w:val="0000FF"/>
            <w:u w:val="single"/>
          </w:rPr>
          <w:t>hmakadon</w:t>
        </w:r>
        <w:r w:rsidR="00083F29" w:rsidRPr="00083F29">
          <w:rPr>
            <w:rFonts w:ascii="Calibri" w:hAnsi="Calibri"/>
            <w:color w:val="0000FF"/>
            <w:u w:val="single"/>
          </w:rPr>
          <w:t>@fenwayhealth.org</w:t>
        </w:r>
      </w:hyperlink>
      <w:r w:rsidR="00083F29" w:rsidRPr="00083F29">
        <w:rPr>
          <w:rFonts w:ascii="Calibri" w:hAnsi="Calibri"/>
        </w:rPr>
        <w:t>, or at 617-927-</w:t>
      </w:r>
      <w:r w:rsidR="00F5032C">
        <w:rPr>
          <w:rFonts w:ascii="Calibri" w:hAnsi="Calibri"/>
        </w:rPr>
        <w:t>6426</w:t>
      </w:r>
      <w:r w:rsidR="00083F29" w:rsidRPr="00083F29">
        <w:rPr>
          <w:rFonts w:ascii="Calibri" w:hAnsi="Calibri"/>
        </w:rPr>
        <w:t>.</w:t>
      </w:r>
    </w:p>
    <w:p w14:paraId="54E83A0C" w14:textId="77777777" w:rsidR="00083F29" w:rsidRPr="00083F29" w:rsidRDefault="00083F29" w:rsidP="00083F29">
      <w:pPr>
        <w:jc w:val="both"/>
        <w:rPr>
          <w:rFonts w:ascii="Calibri" w:hAnsi="Calibri"/>
        </w:rPr>
      </w:pPr>
    </w:p>
    <w:p w14:paraId="6C07BA72" w14:textId="77777777" w:rsidR="00083F29" w:rsidRPr="00083F29" w:rsidRDefault="00083F29" w:rsidP="00083F29">
      <w:pPr>
        <w:jc w:val="both"/>
        <w:rPr>
          <w:rFonts w:ascii="Calibri" w:hAnsi="Calibri"/>
        </w:rPr>
      </w:pPr>
      <w:r w:rsidRPr="00083F29">
        <w:rPr>
          <w:rFonts w:ascii="Calibri" w:hAnsi="Calibri"/>
        </w:rPr>
        <w:t>Sincerely Yours,</w:t>
      </w:r>
    </w:p>
    <w:p w14:paraId="7F888A51" w14:textId="77777777" w:rsidR="00083F29" w:rsidRPr="00083F29" w:rsidRDefault="00083F29" w:rsidP="00083F29">
      <w:pPr>
        <w:jc w:val="both"/>
        <w:rPr>
          <w:rFonts w:ascii="Calibri" w:hAnsi="Calibri"/>
          <w:i/>
        </w:rPr>
      </w:pPr>
    </w:p>
    <w:p w14:paraId="342F3CA3" w14:textId="77777777" w:rsidR="00083F29" w:rsidRPr="00083F29" w:rsidRDefault="00083F29" w:rsidP="00083F29">
      <w:pPr>
        <w:jc w:val="both"/>
        <w:rPr>
          <w:rFonts w:ascii="Calibri" w:hAnsi="Calibri" w:cs="Calibri"/>
        </w:rPr>
      </w:pPr>
      <w:r w:rsidRPr="00083F29">
        <w:rPr>
          <w:rFonts w:ascii="Calibri" w:hAnsi="Calibri" w:cs="Calibri"/>
        </w:rPr>
        <w:t>Fenway Institute, Fenway Health</w:t>
      </w:r>
    </w:p>
    <w:p w14:paraId="133612C2" w14:textId="77777777" w:rsidR="00083F29" w:rsidRPr="00083F29" w:rsidRDefault="00083F29" w:rsidP="00083F29">
      <w:pPr>
        <w:jc w:val="both"/>
        <w:rPr>
          <w:rFonts w:ascii="Calibri" w:hAnsi="Calibri" w:cs="Calibri"/>
        </w:rPr>
      </w:pPr>
    </w:p>
    <w:p w14:paraId="1C7A5247" w14:textId="77777777" w:rsidR="00083F29" w:rsidRPr="00083F29" w:rsidRDefault="00083F29" w:rsidP="00083F29">
      <w:pPr>
        <w:jc w:val="both"/>
        <w:rPr>
          <w:rFonts w:ascii="Calibri" w:hAnsi="Calibri" w:cs="Calibri"/>
        </w:rPr>
      </w:pPr>
      <w:r w:rsidRPr="00083F29">
        <w:rPr>
          <w:rFonts w:ascii="Calibri" w:hAnsi="Calibri" w:cs="Calibri"/>
        </w:rPr>
        <w:t>Center for American Progress</w:t>
      </w:r>
    </w:p>
    <w:p w14:paraId="01F3642A" w14:textId="77777777" w:rsidR="008876B3" w:rsidRPr="00083F29" w:rsidRDefault="008876B3" w:rsidP="00083F29">
      <w:pPr>
        <w:jc w:val="both"/>
        <w:rPr>
          <w:rFonts w:ascii="Calibri" w:hAnsi="Calibri" w:cs="Calibri"/>
        </w:rPr>
      </w:pPr>
    </w:p>
    <w:p w14:paraId="141A14AF" w14:textId="77777777" w:rsidR="00083F29" w:rsidRPr="00083F29" w:rsidRDefault="00083F29" w:rsidP="00083F29">
      <w:pPr>
        <w:jc w:val="both"/>
        <w:rPr>
          <w:rFonts w:ascii="Calibri" w:hAnsi="Calibri" w:cs="Calibri"/>
        </w:rPr>
      </w:pPr>
    </w:p>
    <w:p w14:paraId="78DFEA12" w14:textId="77777777" w:rsidR="00A323F0" w:rsidRDefault="00A323F0" w:rsidP="00A323F0">
      <w:pPr>
        <w:rPr>
          <w:rFonts w:asciiTheme="minorHAnsi" w:hAnsiTheme="minorHAnsi" w:cstheme="minorHAnsi"/>
        </w:rPr>
      </w:pPr>
      <w:r>
        <w:rPr>
          <w:rFonts w:asciiTheme="minorHAnsi" w:hAnsiTheme="minorHAnsi" w:cstheme="minorHAnsi"/>
        </w:rPr>
        <w:t>Cc:</w:t>
      </w:r>
    </w:p>
    <w:p w14:paraId="1385FB6E" w14:textId="77777777" w:rsidR="00A323F0" w:rsidRDefault="00A323F0" w:rsidP="00A323F0">
      <w:pPr>
        <w:rPr>
          <w:rFonts w:asciiTheme="minorHAnsi" w:hAnsiTheme="minorHAnsi" w:cstheme="minorHAnsi"/>
        </w:rPr>
      </w:pPr>
    </w:p>
    <w:p w14:paraId="660C09C0" w14:textId="4123BFE8" w:rsidR="00A323F0" w:rsidRPr="007B0215" w:rsidRDefault="00A323F0" w:rsidP="00A323F0">
      <w:pPr>
        <w:rPr>
          <w:rFonts w:asciiTheme="minorHAnsi" w:hAnsiTheme="minorHAnsi" w:cstheme="minorHAnsi"/>
        </w:rPr>
      </w:pPr>
      <w:r w:rsidRPr="007B0215">
        <w:rPr>
          <w:rFonts w:asciiTheme="minorHAnsi" w:hAnsiTheme="minorHAnsi" w:cstheme="minorHAnsi"/>
        </w:rPr>
        <w:t>Dr. Karen DeSalvo</w:t>
      </w:r>
    </w:p>
    <w:p w14:paraId="76DEF72B" w14:textId="77777777" w:rsidR="00A323F0" w:rsidRPr="007B0215" w:rsidRDefault="00A323F0" w:rsidP="00A323F0">
      <w:pPr>
        <w:rPr>
          <w:rFonts w:asciiTheme="minorHAnsi" w:hAnsiTheme="minorHAnsi" w:cstheme="minorHAnsi"/>
        </w:rPr>
      </w:pPr>
      <w:r w:rsidRPr="007B0215">
        <w:rPr>
          <w:rFonts w:asciiTheme="minorHAnsi" w:hAnsiTheme="minorHAnsi" w:cstheme="minorHAnsi"/>
        </w:rPr>
        <w:t xml:space="preserve">National Coordinator for Health Information Technology </w:t>
      </w:r>
    </w:p>
    <w:p w14:paraId="0D791778" w14:textId="77777777" w:rsidR="00A323F0" w:rsidRPr="007B0215" w:rsidRDefault="00A323F0" w:rsidP="00A323F0">
      <w:pPr>
        <w:rPr>
          <w:rFonts w:asciiTheme="minorHAnsi" w:hAnsiTheme="minorHAnsi" w:cstheme="minorHAnsi"/>
        </w:rPr>
      </w:pPr>
      <w:r w:rsidRPr="007B0215">
        <w:rPr>
          <w:rFonts w:asciiTheme="minorHAnsi" w:hAnsiTheme="minorHAnsi" w:cstheme="minorHAnsi"/>
        </w:rPr>
        <w:t xml:space="preserve">Hubert H. Humphrey Building, Suite 729D </w:t>
      </w:r>
    </w:p>
    <w:p w14:paraId="79861C93" w14:textId="77777777" w:rsidR="00A323F0" w:rsidRDefault="00A323F0" w:rsidP="00A323F0">
      <w:pPr>
        <w:rPr>
          <w:rFonts w:asciiTheme="minorHAnsi" w:hAnsiTheme="minorHAnsi" w:cstheme="minorHAnsi"/>
        </w:rPr>
      </w:pPr>
      <w:r>
        <w:rPr>
          <w:rFonts w:asciiTheme="minorHAnsi" w:hAnsiTheme="minorHAnsi" w:cstheme="minorHAnsi"/>
        </w:rPr>
        <w:t>200 Independence Ave SW</w:t>
      </w:r>
      <w:r w:rsidRPr="007B0215">
        <w:rPr>
          <w:rFonts w:asciiTheme="minorHAnsi" w:hAnsiTheme="minorHAnsi" w:cstheme="minorHAnsi"/>
        </w:rPr>
        <w:t xml:space="preserve"> </w:t>
      </w:r>
    </w:p>
    <w:p w14:paraId="29032645" w14:textId="77777777" w:rsidR="00A323F0" w:rsidRDefault="00A323F0" w:rsidP="00A323F0">
      <w:pPr>
        <w:rPr>
          <w:rFonts w:asciiTheme="minorHAnsi" w:hAnsiTheme="minorHAnsi" w:cstheme="minorHAnsi"/>
        </w:rPr>
      </w:pPr>
      <w:r w:rsidRPr="007B0215">
        <w:rPr>
          <w:rFonts w:asciiTheme="minorHAnsi" w:hAnsiTheme="minorHAnsi" w:cstheme="minorHAnsi"/>
        </w:rPr>
        <w:t>Washington, DC 20201</w:t>
      </w:r>
    </w:p>
    <w:p w14:paraId="3C4178A6" w14:textId="77777777" w:rsidR="00083F29" w:rsidRPr="00A323F0" w:rsidRDefault="00083F29" w:rsidP="00A323F0">
      <w:pPr>
        <w:jc w:val="both"/>
        <w:rPr>
          <w:rFonts w:ascii="Calibri" w:hAnsi="Calibri" w:cs="Calibri"/>
          <w:b/>
        </w:rPr>
      </w:pPr>
    </w:p>
    <w:p w14:paraId="36BE475B" w14:textId="77777777" w:rsidR="00083F29" w:rsidRPr="00083F29" w:rsidRDefault="00083F29" w:rsidP="00083F29">
      <w:pPr>
        <w:ind w:left="180"/>
        <w:jc w:val="both"/>
        <w:rPr>
          <w:rFonts w:ascii="Calibri" w:hAnsi="Calibri" w:cs="Calibri"/>
        </w:rPr>
      </w:pPr>
    </w:p>
    <w:p w14:paraId="3CC439BD" w14:textId="77777777" w:rsidR="00083F29" w:rsidRPr="00083F29" w:rsidRDefault="00083F29" w:rsidP="00083F29">
      <w:pPr>
        <w:rPr>
          <w:rFonts w:ascii="Calibri" w:hAnsi="Calibri" w:cs="Calibri"/>
        </w:rPr>
      </w:pPr>
    </w:p>
    <w:p w14:paraId="4EE7CCAB" w14:textId="77777777" w:rsidR="00E52310" w:rsidRPr="00074D85" w:rsidRDefault="00E52310" w:rsidP="00074D85"/>
    <w:sectPr w:rsidR="00E52310" w:rsidRPr="00074D85" w:rsidSect="00AF5B9B">
      <w:footerReference w:type="default" r:id="rId10"/>
      <w:headerReference w:type="first" r:id="rId11"/>
      <w:footerReference w:type="first" r:id="rId12"/>
      <w:endnotePr>
        <w:numFmt w:val="decimal"/>
      </w:endnotePr>
      <w:pgSz w:w="12240" w:h="15840" w:code="1"/>
      <w:pgMar w:top="1152" w:right="1080" w:bottom="1152" w:left="108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C562E6" w14:textId="77777777" w:rsidR="007F4677" w:rsidRDefault="007F4677">
      <w:r>
        <w:separator/>
      </w:r>
    </w:p>
  </w:endnote>
  <w:endnote w:type="continuationSeparator" w:id="0">
    <w:p w14:paraId="459EB8D0" w14:textId="77777777" w:rsidR="007F4677" w:rsidRDefault="007F4677">
      <w:r>
        <w:continuationSeparator/>
      </w:r>
    </w:p>
  </w:endnote>
  <w:endnote w:id="1">
    <w:p w14:paraId="37174C36" w14:textId="77777777" w:rsidR="00070D79" w:rsidRPr="00386176" w:rsidRDefault="00070D79" w:rsidP="00070D79">
      <w:pPr>
        <w:pStyle w:val="EndnoteText"/>
        <w:rPr>
          <w:sz w:val="18"/>
          <w:szCs w:val="18"/>
        </w:rPr>
      </w:pPr>
      <w:r w:rsidRPr="00386176">
        <w:rPr>
          <w:rStyle w:val="EndnoteReference"/>
          <w:sz w:val="18"/>
          <w:szCs w:val="18"/>
        </w:rPr>
        <w:endnoteRef/>
      </w:r>
      <w:r w:rsidRPr="00386176">
        <w:rPr>
          <w:sz w:val="18"/>
          <w:szCs w:val="18"/>
        </w:rPr>
        <w:t xml:space="preserve"> </w:t>
      </w:r>
      <w:proofErr w:type="gramStart"/>
      <w:r w:rsidRPr="00386176">
        <w:rPr>
          <w:color w:val="222222"/>
          <w:sz w:val="18"/>
          <w:szCs w:val="18"/>
          <w:shd w:val="clear" w:color="auto" w:fill="FFFFFF"/>
        </w:rPr>
        <w:t>Committee on Lesbian, Gay, Bisexual, and Transgender Health Issues and Research Gaps and Opportunities; Board on the Health of Select Populations; Institute of Medicine.</w:t>
      </w:r>
      <w:proofErr w:type="gramEnd"/>
      <w:r w:rsidRPr="00386176">
        <w:rPr>
          <w:color w:val="222222"/>
          <w:sz w:val="18"/>
          <w:szCs w:val="18"/>
          <w:shd w:val="clear" w:color="auto" w:fill="FFFFFF"/>
        </w:rPr>
        <w:t xml:space="preserve"> 2011. </w:t>
      </w:r>
      <w:r w:rsidRPr="00386176">
        <w:rPr>
          <w:i/>
          <w:color w:val="222222"/>
          <w:sz w:val="18"/>
          <w:szCs w:val="18"/>
          <w:shd w:val="clear" w:color="auto" w:fill="FFFFFF"/>
        </w:rPr>
        <w:t>The Health of Lesbian, Gay, Bisexual, and Transgender (LGBT) People: Building a Foundation for Better Understanding</w:t>
      </w:r>
      <w:r w:rsidRPr="00386176">
        <w:rPr>
          <w:color w:val="222222"/>
          <w:sz w:val="18"/>
          <w:szCs w:val="18"/>
          <w:shd w:val="clear" w:color="auto" w:fill="FFFFFF"/>
        </w:rPr>
        <w:t>. Washington, DC: National Academies Press.</w:t>
      </w:r>
    </w:p>
  </w:endnote>
  <w:endnote w:id="2">
    <w:p w14:paraId="13D3745C" w14:textId="77777777" w:rsidR="00070D79" w:rsidRPr="00386176" w:rsidRDefault="00070D79" w:rsidP="00070D79">
      <w:pPr>
        <w:pStyle w:val="EndnoteText"/>
        <w:rPr>
          <w:color w:val="000000"/>
          <w:sz w:val="18"/>
          <w:szCs w:val="18"/>
        </w:rPr>
      </w:pPr>
      <w:r w:rsidRPr="00386176">
        <w:rPr>
          <w:rStyle w:val="EndnoteReference"/>
          <w:sz w:val="18"/>
          <w:szCs w:val="18"/>
        </w:rPr>
        <w:endnoteRef/>
      </w:r>
      <w:r w:rsidRPr="00386176">
        <w:rPr>
          <w:sz w:val="18"/>
          <w:szCs w:val="18"/>
        </w:rPr>
        <w:t xml:space="preserve"> </w:t>
      </w:r>
      <w:proofErr w:type="gramStart"/>
      <w:r w:rsidRPr="00386176">
        <w:rPr>
          <w:sz w:val="18"/>
          <w:szCs w:val="18"/>
        </w:rPr>
        <w:t>The Joint Commission.</w:t>
      </w:r>
      <w:proofErr w:type="gramEnd"/>
      <w:r w:rsidRPr="00386176">
        <w:rPr>
          <w:sz w:val="18"/>
          <w:szCs w:val="18"/>
        </w:rPr>
        <w:t xml:space="preserve"> (October 2011). </w:t>
      </w:r>
      <w:r w:rsidRPr="00386176">
        <w:rPr>
          <w:i/>
          <w:sz w:val="18"/>
          <w:szCs w:val="18"/>
        </w:rPr>
        <w:t xml:space="preserve">Advancing Effective Communication, Cultural Competence, and Patient- and Family-Centered Care for the Lesbian, Gay, Bisexual, and Transgender Community: A Field Guide. </w:t>
      </w:r>
      <w:hyperlink r:id="rId1" w:history="1">
        <w:r w:rsidRPr="00386176">
          <w:rPr>
            <w:rStyle w:val="Hyperlink"/>
            <w:sz w:val="18"/>
            <w:szCs w:val="18"/>
          </w:rPr>
          <w:t>http://www.jointcommission.org/assets/1/18/LGBTFieldGuide_WEB_LINKED_VER.pdf</w:t>
        </w:r>
      </w:hyperlink>
    </w:p>
  </w:endnote>
  <w:endnote w:id="3">
    <w:p w14:paraId="32239E80" w14:textId="77777777" w:rsidR="00070D79" w:rsidRPr="00386176" w:rsidRDefault="00070D79" w:rsidP="00070D79">
      <w:pPr>
        <w:pStyle w:val="EndnoteText"/>
        <w:rPr>
          <w:color w:val="000000"/>
          <w:sz w:val="18"/>
          <w:szCs w:val="18"/>
        </w:rPr>
      </w:pPr>
      <w:r w:rsidRPr="00386176">
        <w:rPr>
          <w:rStyle w:val="EndnoteReference"/>
          <w:sz w:val="18"/>
          <w:szCs w:val="18"/>
        </w:rPr>
        <w:endnoteRef/>
      </w:r>
      <w:r w:rsidRPr="00386176">
        <w:rPr>
          <w:sz w:val="18"/>
          <w:szCs w:val="18"/>
        </w:rPr>
        <w:t xml:space="preserve"> </w:t>
      </w:r>
      <w:proofErr w:type="gramStart"/>
      <w:r w:rsidRPr="00386176">
        <w:rPr>
          <w:sz w:val="18"/>
          <w:szCs w:val="18"/>
        </w:rPr>
        <w:t>See, e.g., The Joint Commission.</w:t>
      </w:r>
      <w:proofErr w:type="gramEnd"/>
      <w:r w:rsidRPr="00386176">
        <w:rPr>
          <w:sz w:val="18"/>
          <w:szCs w:val="18"/>
        </w:rPr>
        <w:t xml:space="preserve"> (October 2011). </w:t>
      </w:r>
      <w:r w:rsidRPr="00386176">
        <w:rPr>
          <w:i/>
          <w:sz w:val="18"/>
          <w:szCs w:val="18"/>
        </w:rPr>
        <w:t xml:space="preserve">Advancing Effective Communication, Cultural Competence, and Patient- and Family-Centered Care for the Lesbian, Gay, Bisexual, and Transgender Community: A Field Guide. </w:t>
      </w:r>
      <w:hyperlink r:id="rId2" w:history="1">
        <w:r w:rsidRPr="00386176">
          <w:rPr>
            <w:rStyle w:val="Hyperlink"/>
            <w:sz w:val="18"/>
            <w:szCs w:val="18"/>
          </w:rPr>
          <w:t>http://www.jointcommission.org/assets/1/18/LGBTFieldGuide_WEB_LINKED_VER.pdf</w:t>
        </w:r>
      </w:hyperlink>
    </w:p>
    <w:p w14:paraId="1B846D5E" w14:textId="77777777" w:rsidR="00070D79" w:rsidRPr="00386176" w:rsidRDefault="00070D79" w:rsidP="00070D79">
      <w:pPr>
        <w:pStyle w:val="EndnoteText"/>
        <w:rPr>
          <w:i/>
          <w:sz w:val="18"/>
          <w:szCs w:val="18"/>
        </w:rPr>
      </w:pPr>
      <w:proofErr w:type="gramStart"/>
      <w:r w:rsidRPr="00386176">
        <w:rPr>
          <w:color w:val="000000"/>
          <w:sz w:val="18"/>
          <w:szCs w:val="18"/>
        </w:rPr>
        <w:t>The Institute of Medicine.</w:t>
      </w:r>
      <w:proofErr w:type="gramEnd"/>
      <w:r w:rsidRPr="00386176">
        <w:rPr>
          <w:color w:val="000000"/>
          <w:sz w:val="18"/>
          <w:szCs w:val="18"/>
        </w:rPr>
        <w:t xml:space="preserve"> (October 2012). </w:t>
      </w:r>
      <w:r w:rsidRPr="00386176">
        <w:rPr>
          <w:i/>
          <w:color w:val="000000"/>
          <w:sz w:val="18"/>
          <w:szCs w:val="18"/>
        </w:rPr>
        <w:t>Collecting Sexual Orientation and Gender Identity Data in Electronic Health Records: Workshop Summary</w:t>
      </w:r>
      <w:r w:rsidRPr="00386176">
        <w:rPr>
          <w:color w:val="000000"/>
          <w:sz w:val="18"/>
          <w:szCs w:val="18"/>
        </w:rPr>
        <w:t xml:space="preserve">. </w:t>
      </w:r>
      <w:hyperlink r:id="rId3" w:history="1">
        <w:r w:rsidRPr="00386176">
          <w:rPr>
            <w:rStyle w:val="Hyperlink"/>
            <w:sz w:val="18"/>
            <w:szCs w:val="18"/>
          </w:rPr>
          <w:t>http://books.nap.edu/openbook.php?record_id=18260</w:t>
        </w:r>
      </w:hyperlink>
      <w:r w:rsidRPr="00386176">
        <w:rPr>
          <w:color w:val="000000"/>
          <w:sz w:val="18"/>
          <w:szCs w:val="18"/>
        </w:rPr>
        <w:t xml:space="preserve"> </w:t>
      </w:r>
    </w:p>
  </w:endnote>
  <w:endnote w:id="4">
    <w:p w14:paraId="426472F5" w14:textId="77777777" w:rsidR="00070D79" w:rsidRPr="00386176" w:rsidRDefault="00070D79" w:rsidP="00070D79">
      <w:pPr>
        <w:spacing w:after="60"/>
        <w:rPr>
          <w:sz w:val="18"/>
          <w:szCs w:val="18"/>
          <w:vertAlign w:val="superscript"/>
        </w:rPr>
      </w:pPr>
      <w:r w:rsidRPr="00386176">
        <w:rPr>
          <w:rStyle w:val="EndnoteReference"/>
          <w:sz w:val="18"/>
          <w:szCs w:val="18"/>
        </w:rPr>
        <w:endnoteRef/>
      </w:r>
      <w:r w:rsidRPr="00386176">
        <w:rPr>
          <w:sz w:val="18"/>
          <w:szCs w:val="18"/>
        </w:rPr>
        <w:t xml:space="preserve"> </w:t>
      </w:r>
      <w:proofErr w:type="gramStart"/>
      <w:r w:rsidRPr="00386176">
        <w:rPr>
          <w:color w:val="222222"/>
          <w:sz w:val="18"/>
          <w:szCs w:val="18"/>
          <w:shd w:val="clear" w:color="auto" w:fill="FFFFFF"/>
        </w:rPr>
        <w:t>Committee on Lesbian, Gay, Bisexual, and Transgender Health Issues and Research Gaps and Opportunities; Board on the Health of Select Populations; Institute of Medicine.</w:t>
      </w:r>
      <w:proofErr w:type="gramEnd"/>
      <w:r w:rsidRPr="00386176">
        <w:rPr>
          <w:color w:val="222222"/>
          <w:sz w:val="18"/>
          <w:szCs w:val="18"/>
          <w:shd w:val="clear" w:color="auto" w:fill="FFFFFF"/>
        </w:rPr>
        <w:t xml:space="preserve"> 2011. </w:t>
      </w:r>
      <w:r w:rsidRPr="00386176">
        <w:rPr>
          <w:i/>
          <w:color w:val="222222"/>
          <w:sz w:val="18"/>
          <w:szCs w:val="18"/>
          <w:shd w:val="clear" w:color="auto" w:fill="FFFFFF"/>
        </w:rPr>
        <w:t>The Health of Lesbian, Gay, Bisexual, and Transgender (LGBT) People: Building a Foundation for Better Understanding</w:t>
      </w:r>
      <w:r w:rsidRPr="00386176">
        <w:rPr>
          <w:color w:val="222222"/>
          <w:sz w:val="18"/>
          <w:szCs w:val="18"/>
          <w:shd w:val="clear" w:color="auto" w:fill="FFFFFF"/>
        </w:rPr>
        <w:t>. Washington, DC: National Academies Press.</w:t>
      </w:r>
    </w:p>
  </w:endnote>
  <w:endnote w:id="5">
    <w:p w14:paraId="229B099B" w14:textId="77777777" w:rsidR="00070D79" w:rsidRPr="00386176" w:rsidRDefault="00070D79" w:rsidP="00070D79">
      <w:pPr>
        <w:pStyle w:val="EndnoteText"/>
        <w:spacing w:after="60"/>
        <w:rPr>
          <w:sz w:val="18"/>
          <w:szCs w:val="18"/>
        </w:rPr>
      </w:pPr>
      <w:r w:rsidRPr="00386176">
        <w:rPr>
          <w:rStyle w:val="EndnoteReference"/>
          <w:sz w:val="18"/>
          <w:szCs w:val="18"/>
        </w:rPr>
        <w:endnoteRef/>
      </w:r>
      <w:r w:rsidRPr="00386176">
        <w:rPr>
          <w:sz w:val="18"/>
          <w:szCs w:val="18"/>
        </w:rPr>
        <w:t xml:space="preserve"> </w:t>
      </w:r>
      <w:proofErr w:type="gramStart"/>
      <w:r w:rsidRPr="00386176">
        <w:rPr>
          <w:color w:val="222222"/>
          <w:sz w:val="18"/>
          <w:szCs w:val="18"/>
          <w:shd w:val="clear" w:color="auto" w:fill="FFFFFF"/>
        </w:rPr>
        <w:t>Boehmer, U., D.J. Bowen, and G.R. Bauer.</w:t>
      </w:r>
      <w:proofErr w:type="gramEnd"/>
      <w:r w:rsidRPr="00386176">
        <w:rPr>
          <w:color w:val="222222"/>
          <w:sz w:val="18"/>
          <w:szCs w:val="18"/>
          <w:shd w:val="clear" w:color="auto" w:fill="FFFFFF"/>
        </w:rPr>
        <w:t xml:space="preserve"> 2007. “Overweight and Obesity in Sexual Minority Women: Evidence from Population-Based Data.” </w:t>
      </w:r>
      <w:r w:rsidRPr="00386176">
        <w:rPr>
          <w:i/>
          <w:color w:val="222222"/>
          <w:sz w:val="18"/>
          <w:szCs w:val="18"/>
          <w:shd w:val="clear" w:color="auto" w:fill="FFFFFF"/>
        </w:rPr>
        <w:t>American Journal of Public Health</w:t>
      </w:r>
      <w:r w:rsidRPr="00386176">
        <w:rPr>
          <w:color w:val="222222"/>
          <w:sz w:val="18"/>
          <w:szCs w:val="18"/>
          <w:shd w:val="clear" w:color="auto" w:fill="FFFFFF"/>
        </w:rPr>
        <w:t xml:space="preserve"> 97:1134–40. doi:10.2105/AJPH.2006.088419.</w:t>
      </w:r>
    </w:p>
  </w:endnote>
  <w:endnote w:id="6">
    <w:p w14:paraId="30CC48AA" w14:textId="77777777" w:rsidR="00070D79" w:rsidRPr="00386176" w:rsidRDefault="00070D79" w:rsidP="00070D79">
      <w:pPr>
        <w:pStyle w:val="EndnoteText"/>
        <w:spacing w:after="60"/>
        <w:rPr>
          <w:sz w:val="18"/>
          <w:szCs w:val="18"/>
        </w:rPr>
      </w:pPr>
      <w:r w:rsidRPr="00386176">
        <w:rPr>
          <w:rStyle w:val="EndnoteReference"/>
          <w:sz w:val="18"/>
          <w:szCs w:val="18"/>
        </w:rPr>
        <w:endnoteRef/>
      </w:r>
      <w:r w:rsidRPr="00386176">
        <w:rPr>
          <w:sz w:val="18"/>
          <w:szCs w:val="18"/>
        </w:rPr>
        <w:t xml:space="preserve"> </w:t>
      </w:r>
      <w:proofErr w:type="gramStart"/>
      <w:r w:rsidRPr="00386176">
        <w:rPr>
          <w:color w:val="222222"/>
          <w:sz w:val="18"/>
          <w:szCs w:val="18"/>
          <w:shd w:val="clear" w:color="auto" w:fill="FFFFFF"/>
        </w:rPr>
        <w:t>Committee on Lesbian, Gay, Bisexual, and Transgender Health Issues and Research Gaps and Opportunities; Board on the Health of Select Populations; Institute of Medicine.</w:t>
      </w:r>
      <w:proofErr w:type="gramEnd"/>
      <w:r w:rsidRPr="00386176">
        <w:rPr>
          <w:color w:val="222222"/>
          <w:sz w:val="18"/>
          <w:szCs w:val="18"/>
          <w:shd w:val="clear" w:color="auto" w:fill="FFFFFF"/>
        </w:rPr>
        <w:t xml:space="preserve"> 2011. </w:t>
      </w:r>
      <w:r w:rsidRPr="00386176">
        <w:rPr>
          <w:i/>
          <w:color w:val="222222"/>
          <w:sz w:val="18"/>
          <w:szCs w:val="18"/>
          <w:shd w:val="clear" w:color="auto" w:fill="FFFFFF"/>
        </w:rPr>
        <w:t>The Health of Lesbian, Gay, Bisexual, and Transgender (LGBT) People.</w:t>
      </w:r>
    </w:p>
  </w:endnote>
  <w:endnote w:id="7">
    <w:p w14:paraId="280C74EE" w14:textId="77777777" w:rsidR="00070D79" w:rsidRPr="00386176" w:rsidRDefault="00070D79" w:rsidP="00070D79">
      <w:pPr>
        <w:pStyle w:val="EndnoteText"/>
        <w:spacing w:after="60"/>
        <w:rPr>
          <w:sz w:val="18"/>
          <w:szCs w:val="18"/>
        </w:rPr>
      </w:pPr>
      <w:r w:rsidRPr="00386176">
        <w:rPr>
          <w:rStyle w:val="EndnoteReference"/>
          <w:sz w:val="18"/>
          <w:szCs w:val="18"/>
        </w:rPr>
        <w:endnoteRef/>
      </w:r>
      <w:r w:rsidRPr="00386176">
        <w:rPr>
          <w:sz w:val="18"/>
          <w:szCs w:val="18"/>
        </w:rPr>
        <w:t xml:space="preserve"> </w:t>
      </w:r>
      <w:proofErr w:type="gramStart"/>
      <w:r w:rsidRPr="00386176">
        <w:rPr>
          <w:color w:val="222222"/>
          <w:sz w:val="18"/>
          <w:szCs w:val="18"/>
          <w:shd w:val="clear" w:color="auto" w:fill="FFFFFF"/>
        </w:rPr>
        <w:t>Lee, J., G. Griffin, and C. Melvin.</w:t>
      </w:r>
      <w:proofErr w:type="gramEnd"/>
      <w:r w:rsidRPr="00386176">
        <w:rPr>
          <w:color w:val="222222"/>
          <w:sz w:val="18"/>
          <w:szCs w:val="18"/>
          <w:shd w:val="clear" w:color="auto" w:fill="FFFFFF"/>
        </w:rPr>
        <w:t xml:space="preserve"> 2009. “Tobacco Use among Sexual Minorities in the U.S.A., 1987 to May 2007: A Systematic Review.” </w:t>
      </w:r>
      <w:r w:rsidRPr="00386176">
        <w:rPr>
          <w:i/>
          <w:color w:val="222222"/>
          <w:sz w:val="18"/>
          <w:szCs w:val="18"/>
          <w:shd w:val="clear" w:color="auto" w:fill="FFFFFF"/>
        </w:rPr>
        <w:t>Tobacco Control</w:t>
      </w:r>
      <w:r w:rsidRPr="00386176">
        <w:rPr>
          <w:color w:val="222222"/>
          <w:sz w:val="18"/>
          <w:szCs w:val="18"/>
          <w:shd w:val="clear" w:color="auto" w:fill="FFFFFF"/>
        </w:rPr>
        <w:t xml:space="preserve"> 18(4):275–82. doi:10.1136/tc.2008.028241.</w:t>
      </w:r>
    </w:p>
  </w:endnote>
  <w:endnote w:id="8">
    <w:p w14:paraId="00EE99C5" w14:textId="77777777" w:rsidR="00070D79" w:rsidRPr="00386176" w:rsidRDefault="00070D79" w:rsidP="00070D79">
      <w:pPr>
        <w:pStyle w:val="EndnoteText"/>
        <w:spacing w:after="60"/>
        <w:rPr>
          <w:sz w:val="18"/>
          <w:szCs w:val="18"/>
        </w:rPr>
      </w:pPr>
      <w:r w:rsidRPr="00386176">
        <w:rPr>
          <w:rStyle w:val="EndnoteReference"/>
          <w:sz w:val="18"/>
          <w:szCs w:val="18"/>
        </w:rPr>
        <w:endnoteRef/>
      </w:r>
      <w:r w:rsidRPr="00386176">
        <w:rPr>
          <w:sz w:val="18"/>
          <w:szCs w:val="18"/>
        </w:rPr>
        <w:t xml:space="preserve"> Ponce N., S. Cochran, J. Pizer et al. 2010. </w:t>
      </w:r>
      <w:proofErr w:type="gramStart"/>
      <w:r w:rsidRPr="00386176">
        <w:rPr>
          <w:sz w:val="18"/>
          <w:szCs w:val="18"/>
        </w:rPr>
        <w:t>“The Effects of Unequal Access to Health Insurance for Same-Sex Couples in California.”</w:t>
      </w:r>
      <w:proofErr w:type="gramEnd"/>
      <w:r w:rsidRPr="00386176">
        <w:rPr>
          <w:sz w:val="18"/>
          <w:szCs w:val="18"/>
        </w:rPr>
        <w:t xml:space="preserve"> </w:t>
      </w:r>
      <w:r w:rsidRPr="00386176">
        <w:rPr>
          <w:i/>
          <w:sz w:val="18"/>
          <w:szCs w:val="18"/>
        </w:rPr>
        <w:t>Health Affairs</w:t>
      </w:r>
      <w:r w:rsidRPr="00386176">
        <w:rPr>
          <w:sz w:val="18"/>
          <w:szCs w:val="18"/>
        </w:rPr>
        <w:t xml:space="preserve"> 29:1539–48. doi:10.1377/hlthaff.2009.0583.</w:t>
      </w:r>
    </w:p>
  </w:endnote>
  <w:endnote w:id="9">
    <w:p w14:paraId="5C8DBCBB" w14:textId="77777777" w:rsidR="00070D79" w:rsidRPr="00386176" w:rsidRDefault="00070D79" w:rsidP="00070D79">
      <w:pPr>
        <w:pStyle w:val="EndnoteText"/>
        <w:spacing w:after="60"/>
        <w:rPr>
          <w:sz w:val="18"/>
          <w:szCs w:val="18"/>
        </w:rPr>
      </w:pPr>
      <w:r w:rsidRPr="00386176">
        <w:rPr>
          <w:rStyle w:val="EndnoteReference"/>
          <w:sz w:val="18"/>
          <w:szCs w:val="18"/>
        </w:rPr>
        <w:endnoteRef/>
      </w:r>
      <w:r w:rsidRPr="00386176">
        <w:rPr>
          <w:sz w:val="18"/>
          <w:szCs w:val="18"/>
        </w:rPr>
        <w:t xml:space="preserve"> </w:t>
      </w:r>
      <w:proofErr w:type="gramStart"/>
      <w:r w:rsidRPr="00386176">
        <w:rPr>
          <w:sz w:val="18"/>
          <w:szCs w:val="18"/>
        </w:rPr>
        <w:t>Ranji U., A. Beamesderfer, J. Kates et al. 2014.</w:t>
      </w:r>
      <w:proofErr w:type="gramEnd"/>
      <w:r w:rsidRPr="00386176">
        <w:rPr>
          <w:sz w:val="18"/>
          <w:szCs w:val="18"/>
        </w:rPr>
        <w:t xml:space="preserve"> </w:t>
      </w:r>
      <w:r w:rsidRPr="00386176">
        <w:rPr>
          <w:i/>
          <w:sz w:val="18"/>
          <w:szCs w:val="18"/>
        </w:rPr>
        <w:t>Health and Access to Care and Coverage for Lesbian, Gay, Bisexual, and Transgender Individuals in the U.S</w:t>
      </w:r>
      <w:r w:rsidRPr="00386176">
        <w:rPr>
          <w:sz w:val="18"/>
          <w:szCs w:val="18"/>
        </w:rPr>
        <w:t>. Menlo Park, CA: Henry J. Kaiser Family Foundation. http://kff.org/report-section/health-and-access-to-care-and-coverage-for-lgbt-individuals-in-the-u-s-health-challenges/.</w:t>
      </w:r>
    </w:p>
  </w:endnote>
  <w:endnote w:id="10">
    <w:p w14:paraId="448E4B8B" w14:textId="77777777" w:rsidR="00070D79" w:rsidRPr="00386176" w:rsidRDefault="00070D79" w:rsidP="00070D79">
      <w:pPr>
        <w:pStyle w:val="EndnoteText"/>
        <w:spacing w:after="60"/>
        <w:rPr>
          <w:sz w:val="18"/>
          <w:szCs w:val="18"/>
        </w:rPr>
      </w:pPr>
      <w:r w:rsidRPr="00386176">
        <w:rPr>
          <w:rStyle w:val="EndnoteReference"/>
          <w:sz w:val="18"/>
          <w:szCs w:val="18"/>
        </w:rPr>
        <w:endnoteRef/>
      </w:r>
      <w:r w:rsidRPr="00386176">
        <w:rPr>
          <w:sz w:val="18"/>
          <w:szCs w:val="18"/>
        </w:rPr>
        <w:t xml:space="preserve"> </w:t>
      </w:r>
      <w:r w:rsidRPr="00386176">
        <w:rPr>
          <w:color w:val="222222"/>
          <w:sz w:val="18"/>
          <w:szCs w:val="18"/>
          <w:shd w:val="clear" w:color="auto" w:fill="FFFFFF"/>
        </w:rPr>
        <w:t xml:space="preserve">Valanis, B.G., D.J. Bowen, T. Bassford et al. 2000. “Sexual Orientation and Health: Comparisons in the Women's Health Initiative Sample.” </w:t>
      </w:r>
      <w:r w:rsidRPr="00386176">
        <w:rPr>
          <w:i/>
          <w:color w:val="222222"/>
          <w:sz w:val="18"/>
          <w:szCs w:val="18"/>
          <w:shd w:val="clear" w:color="auto" w:fill="FFFFFF"/>
        </w:rPr>
        <w:t>Archives of Family Medicine</w:t>
      </w:r>
      <w:r w:rsidRPr="00386176">
        <w:rPr>
          <w:color w:val="222222"/>
          <w:sz w:val="18"/>
          <w:szCs w:val="18"/>
          <w:shd w:val="clear" w:color="auto" w:fill="FFFFFF"/>
        </w:rPr>
        <w:t xml:space="preserve"> 9:843</w:t>
      </w:r>
      <w:r w:rsidRPr="00386176">
        <w:rPr>
          <w:sz w:val="18"/>
          <w:szCs w:val="18"/>
        </w:rPr>
        <w:t>–</w:t>
      </w:r>
      <w:r w:rsidRPr="00386176">
        <w:rPr>
          <w:color w:val="222222"/>
          <w:sz w:val="18"/>
          <w:szCs w:val="18"/>
          <w:shd w:val="clear" w:color="auto" w:fill="FFFFFF"/>
        </w:rPr>
        <w:t>53. PMID: 11031391.</w:t>
      </w:r>
    </w:p>
  </w:endnote>
  <w:endnote w:id="11">
    <w:p w14:paraId="21F4F13C" w14:textId="77777777" w:rsidR="00070D79" w:rsidRPr="00386176" w:rsidRDefault="00070D79" w:rsidP="00070D79">
      <w:pPr>
        <w:spacing w:after="60"/>
        <w:rPr>
          <w:color w:val="222222"/>
          <w:sz w:val="18"/>
          <w:szCs w:val="18"/>
          <w:shd w:val="clear" w:color="auto" w:fill="FFFFFF"/>
        </w:rPr>
      </w:pPr>
      <w:r w:rsidRPr="00386176">
        <w:rPr>
          <w:rStyle w:val="EndnoteReference"/>
          <w:sz w:val="18"/>
          <w:szCs w:val="18"/>
        </w:rPr>
        <w:endnoteRef/>
      </w:r>
      <w:r w:rsidRPr="00386176">
        <w:rPr>
          <w:sz w:val="18"/>
          <w:szCs w:val="18"/>
        </w:rPr>
        <w:t xml:space="preserve"> </w:t>
      </w:r>
      <w:r w:rsidRPr="00386176">
        <w:rPr>
          <w:color w:val="222222"/>
          <w:sz w:val="18"/>
          <w:szCs w:val="18"/>
          <w:shd w:val="clear" w:color="auto" w:fill="FFFFFF"/>
        </w:rPr>
        <w:t xml:space="preserve">Grant, J.M., L.A. Mottet, J. Tanis et al. 2011. </w:t>
      </w:r>
      <w:r w:rsidRPr="00386176">
        <w:rPr>
          <w:i/>
          <w:color w:val="222222"/>
          <w:sz w:val="18"/>
          <w:szCs w:val="18"/>
          <w:shd w:val="clear" w:color="auto" w:fill="FFFFFF"/>
        </w:rPr>
        <w:t>Injustice at Every Turn: A Report of the National Transgender Discrimination Survey.</w:t>
      </w:r>
      <w:r w:rsidRPr="00386176">
        <w:rPr>
          <w:color w:val="222222"/>
          <w:sz w:val="18"/>
          <w:szCs w:val="18"/>
          <w:shd w:val="clear" w:color="auto" w:fill="FFFFFF"/>
        </w:rPr>
        <w:t xml:space="preserve"> Washington, DC: National Center for Transgender Equality and National Gay and Lesbian Task Force. </w:t>
      </w:r>
    </w:p>
  </w:endnote>
  <w:endnote w:id="12">
    <w:p w14:paraId="4CD74730" w14:textId="77777777" w:rsidR="00070D79" w:rsidRPr="00386176" w:rsidRDefault="00070D79" w:rsidP="00070D79">
      <w:pPr>
        <w:pStyle w:val="EndnoteText"/>
        <w:spacing w:after="60"/>
        <w:rPr>
          <w:sz w:val="18"/>
          <w:szCs w:val="18"/>
        </w:rPr>
      </w:pPr>
      <w:r w:rsidRPr="00386176">
        <w:rPr>
          <w:rStyle w:val="EndnoteReference"/>
          <w:sz w:val="18"/>
          <w:szCs w:val="18"/>
        </w:rPr>
        <w:endnoteRef/>
      </w:r>
      <w:r w:rsidRPr="00386176">
        <w:rPr>
          <w:sz w:val="18"/>
          <w:szCs w:val="18"/>
        </w:rPr>
        <w:t xml:space="preserve"> </w:t>
      </w:r>
      <w:proofErr w:type="gramStart"/>
      <w:r w:rsidRPr="00386176">
        <w:rPr>
          <w:sz w:val="18"/>
          <w:szCs w:val="18"/>
        </w:rPr>
        <w:t>Lambda Legal.</w:t>
      </w:r>
      <w:proofErr w:type="gramEnd"/>
      <w:r w:rsidRPr="00386176">
        <w:rPr>
          <w:sz w:val="18"/>
          <w:szCs w:val="18"/>
        </w:rPr>
        <w:t xml:space="preserve"> 2010. </w:t>
      </w:r>
      <w:r w:rsidRPr="00386176">
        <w:rPr>
          <w:i/>
          <w:sz w:val="18"/>
          <w:szCs w:val="18"/>
        </w:rPr>
        <w:t>When Health Care Isn’t Caring: Lambda Legal’s Survey of Discrimination against LGBT People and People with HIV</w:t>
      </w:r>
      <w:r w:rsidRPr="00386176">
        <w:rPr>
          <w:sz w:val="18"/>
          <w:szCs w:val="18"/>
        </w:rPr>
        <w:t>. New York: Lambda Legal. http://www.lambdalegal.org/sites/default/files/publications/downloads/whcic-report_when-health-care-isnt-caring.pdf.</w:t>
      </w:r>
    </w:p>
  </w:endnote>
  <w:endnote w:id="13">
    <w:p w14:paraId="2A6EC259" w14:textId="42FB93C4" w:rsidR="003751B2" w:rsidRPr="003751B2" w:rsidRDefault="003751B2" w:rsidP="003751B2">
      <w:pPr>
        <w:autoSpaceDE w:val="0"/>
        <w:autoSpaceDN w:val="0"/>
        <w:adjustRightInd w:val="0"/>
        <w:rPr>
          <w:sz w:val="18"/>
          <w:szCs w:val="18"/>
        </w:rPr>
      </w:pPr>
      <w:r>
        <w:rPr>
          <w:rStyle w:val="EndnoteReference"/>
        </w:rPr>
        <w:endnoteRef/>
      </w:r>
      <w:r>
        <w:t xml:space="preserve"> </w:t>
      </w:r>
      <w:proofErr w:type="gramStart"/>
      <w:r w:rsidRPr="003751B2">
        <w:rPr>
          <w:sz w:val="18"/>
          <w:szCs w:val="18"/>
        </w:rPr>
        <w:t>Institute o</w:t>
      </w:r>
      <w:r w:rsidR="00FC681E">
        <w:rPr>
          <w:sz w:val="18"/>
          <w:szCs w:val="18"/>
        </w:rPr>
        <w:t>f Medicine.</w:t>
      </w:r>
      <w:proofErr w:type="gramEnd"/>
      <w:r w:rsidRPr="003751B2">
        <w:rPr>
          <w:sz w:val="18"/>
          <w:szCs w:val="18"/>
        </w:rPr>
        <w:t xml:space="preserve"> </w:t>
      </w:r>
      <w:proofErr w:type="gramStart"/>
      <w:r w:rsidRPr="00FC681E">
        <w:rPr>
          <w:i/>
          <w:sz w:val="18"/>
          <w:szCs w:val="18"/>
        </w:rPr>
        <w:t>Sexual orientation and gender identity data collection in electronic health records.</w:t>
      </w:r>
      <w:proofErr w:type="gramEnd"/>
      <w:r w:rsidRPr="00FC681E">
        <w:rPr>
          <w:i/>
          <w:sz w:val="18"/>
          <w:szCs w:val="18"/>
        </w:rPr>
        <w:t xml:space="preserve"> </w:t>
      </w:r>
      <w:proofErr w:type="gramStart"/>
      <w:r w:rsidRPr="00FC681E">
        <w:rPr>
          <w:i/>
          <w:sz w:val="18"/>
          <w:szCs w:val="18"/>
        </w:rPr>
        <w:t>A workshop</w:t>
      </w:r>
      <w:r w:rsidRPr="003751B2">
        <w:rPr>
          <w:sz w:val="18"/>
          <w:szCs w:val="18"/>
        </w:rPr>
        <w:t>.</w:t>
      </w:r>
      <w:proofErr w:type="gramEnd"/>
    </w:p>
    <w:p w14:paraId="37333090" w14:textId="371AEF24" w:rsidR="003751B2" w:rsidRPr="003751B2" w:rsidRDefault="003751B2" w:rsidP="003751B2">
      <w:pPr>
        <w:autoSpaceDE w:val="0"/>
        <w:autoSpaceDN w:val="0"/>
        <w:adjustRightInd w:val="0"/>
        <w:rPr>
          <w:rFonts w:ascii="AdvTimRomLiebert" w:hAnsi="AdvTimRomLiebert" w:cs="AdvTimRomLiebert"/>
          <w:sz w:val="19"/>
          <w:szCs w:val="19"/>
        </w:rPr>
      </w:pPr>
      <w:r w:rsidRPr="003751B2">
        <w:rPr>
          <w:sz w:val="18"/>
          <w:szCs w:val="18"/>
        </w:rPr>
        <w:t>October 12, 2012. Available at www.iom.edu/Activities/SelectPops/LGBTData.aspx</w:t>
      </w:r>
    </w:p>
  </w:endnote>
  <w:endnote w:id="14">
    <w:p w14:paraId="00934D6F" w14:textId="790E6D77" w:rsidR="00FC681E" w:rsidRDefault="00FC681E">
      <w:pPr>
        <w:pStyle w:val="EndnoteText"/>
      </w:pPr>
      <w:r>
        <w:rPr>
          <w:rStyle w:val="EndnoteReference"/>
        </w:rPr>
        <w:endnoteRef/>
      </w:r>
      <w:r>
        <w:t xml:space="preserve"> </w:t>
      </w:r>
      <w:r w:rsidRPr="00FC681E">
        <w:rPr>
          <w:sz w:val="18"/>
          <w:szCs w:val="18"/>
        </w:rPr>
        <w:t>Ibid.</w:t>
      </w:r>
    </w:p>
  </w:endnote>
  <w:endnote w:id="15">
    <w:p w14:paraId="45E2F2AA" w14:textId="5C9B76B1" w:rsidR="00FC681E" w:rsidRPr="00FC681E" w:rsidRDefault="00FC681E" w:rsidP="00FC681E">
      <w:pPr>
        <w:autoSpaceDE w:val="0"/>
        <w:autoSpaceDN w:val="0"/>
        <w:adjustRightInd w:val="0"/>
        <w:rPr>
          <w:bCs/>
          <w:sz w:val="18"/>
          <w:szCs w:val="18"/>
        </w:rPr>
      </w:pPr>
      <w:r>
        <w:rPr>
          <w:rStyle w:val="EndnoteReference"/>
        </w:rPr>
        <w:endnoteRef/>
      </w:r>
      <w:r>
        <w:t xml:space="preserve"> </w:t>
      </w:r>
      <w:r w:rsidRPr="00FC681E">
        <w:rPr>
          <w:bCs/>
          <w:sz w:val="18"/>
          <w:szCs w:val="18"/>
        </w:rPr>
        <w:t>Public Comment on Notice of Proposed Rule Making, RIN 0991</w:t>
      </w:r>
      <w:r w:rsidRPr="00FC681E">
        <w:rPr>
          <w:rFonts w:ascii="Cambria Math" w:hAnsi="Cambria Math" w:cs="Cambria Math"/>
          <w:bCs/>
          <w:sz w:val="18"/>
          <w:szCs w:val="18"/>
        </w:rPr>
        <w:t>‐</w:t>
      </w:r>
      <w:r>
        <w:rPr>
          <w:bCs/>
          <w:sz w:val="18"/>
          <w:szCs w:val="18"/>
        </w:rPr>
        <w:t xml:space="preserve">AB92, the </w:t>
      </w:r>
      <w:r w:rsidRPr="00FC681E">
        <w:rPr>
          <w:bCs/>
          <w:sz w:val="18"/>
          <w:szCs w:val="18"/>
        </w:rPr>
        <w:t>Voluntary 2015 Edition Electronic Health Record Certification Criteria;</w:t>
      </w:r>
      <w:r>
        <w:rPr>
          <w:bCs/>
          <w:sz w:val="18"/>
          <w:szCs w:val="18"/>
        </w:rPr>
        <w:t xml:space="preserve"> </w:t>
      </w:r>
      <w:r w:rsidRPr="00FC681E">
        <w:rPr>
          <w:bCs/>
          <w:sz w:val="18"/>
          <w:szCs w:val="18"/>
        </w:rPr>
        <w:t>Interoperability Updates and Regulatory Improvements, including 2017</w:t>
      </w:r>
      <w:r>
        <w:rPr>
          <w:bCs/>
          <w:sz w:val="18"/>
          <w:szCs w:val="18"/>
        </w:rPr>
        <w:t xml:space="preserve"> </w:t>
      </w:r>
      <w:r w:rsidRPr="00FC681E">
        <w:rPr>
          <w:bCs/>
          <w:sz w:val="18"/>
          <w:szCs w:val="18"/>
        </w:rPr>
        <w:t>Certified EHR Technology (CEHRT) proposals</w:t>
      </w:r>
      <w:r>
        <w:rPr>
          <w:sz w:val="18"/>
          <w:szCs w:val="18"/>
        </w:rPr>
        <w:t xml:space="preserve">. </w:t>
      </w:r>
      <w:proofErr w:type="gramStart"/>
      <w:r>
        <w:rPr>
          <w:sz w:val="18"/>
          <w:szCs w:val="18"/>
        </w:rPr>
        <w:t>Submitted by t</w:t>
      </w:r>
      <w:r w:rsidRPr="00FC681E">
        <w:rPr>
          <w:sz w:val="18"/>
          <w:szCs w:val="18"/>
        </w:rPr>
        <w:t>he Fenway Institute, the Center forAmerican Progress, and 151 other organizations.</w:t>
      </w:r>
      <w:proofErr w:type="gramEnd"/>
      <w:r w:rsidRPr="00FC681E">
        <w:rPr>
          <w:sz w:val="18"/>
          <w:szCs w:val="18"/>
        </w:rPr>
        <w:t xml:space="preserve"> April 28,</w:t>
      </w:r>
    </w:p>
    <w:p w14:paraId="00106544" w14:textId="0718E3AC" w:rsidR="00FC681E" w:rsidRDefault="00FC681E" w:rsidP="00FC681E">
      <w:pPr>
        <w:pStyle w:val="EndnoteText"/>
      </w:pPr>
      <w:r w:rsidRPr="00FC681E">
        <w:rPr>
          <w:sz w:val="18"/>
          <w:szCs w:val="18"/>
        </w:rPr>
        <w:t xml:space="preserve">2014. Available at </w:t>
      </w:r>
      <w:hyperlink r:id="rId4" w:history="1">
        <w:r w:rsidRPr="000F269F">
          <w:rPr>
            <w:rStyle w:val="Hyperlink"/>
            <w:sz w:val="18"/>
            <w:szCs w:val="18"/>
          </w:rPr>
          <w:t>http://thefenwayinstitute.org/wp-content/uploads/TFI-CAP-150+-Orgs-Public-Comment-re-MU-Stage-2-04.28.14.pdf</w:t>
        </w:r>
      </w:hyperlink>
      <w:r>
        <w:rPr>
          <w:sz w:val="18"/>
          <w:szCs w:val="18"/>
        </w:rPr>
        <w:t xml:space="preserve"> </w:t>
      </w:r>
    </w:p>
  </w:endnote>
  <w:endnote w:id="16">
    <w:p w14:paraId="6C7D27D1" w14:textId="4C4091FE" w:rsidR="000D5694" w:rsidRDefault="000D5694">
      <w:pPr>
        <w:pStyle w:val="EndnoteText"/>
      </w:pPr>
      <w:r>
        <w:rPr>
          <w:rStyle w:val="EndnoteReference"/>
        </w:rPr>
        <w:endnoteRef/>
      </w:r>
      <w:r>
        <w:t xml:space="preserve"> </w:t>
      </w:r>
      <w:proofErr w:type="gramStart"/>
      <w:r w:rsidRPr="00386176">
        <w:rPr>
          <w:color w:val="222222"/>
          <w:sz w:val="18"/>
          <w:szCs w:val="18"/>
          <w:shd w:val="clear" w:color="auto" w:fill="FFFFFF"/>
        </w:rPr>
        <w:t>Cahill, S., R. Singal, C. Grasso et al. 2014.</w:t>
      </w:r>
      <w:proofErr w:type="gramEnd"/>
      <w:r w:rsidRPr="00386176">
        <w:rPr>
          <w:color w:val="222222"/>
          <w:sz w:val="18"/>
          <w:szCs w:val="18"/>
          <w:shd w:val="clear" w:color="auto" w:fill="FFFFFF"/>
        </w:rPr>
        <w:t xml:space="preserve"> “Do Ask, Do Tell: High Levels of Acceptability by Patients of Routine Collection of Sexual Orientation and Gender Identity Data in Four Diverse American Community Health Centers.”</w:t>
      </w:r>
      <w:r w:rsidRPr="00386176">
        <w:rPr>
          <w:rStyle w:val="apple-converted-space"/>
          <w:color w:val="222222"/>
          <w:sz w:val="18"/>
          <w:szCs w:val="18"/>
          <w:shd w:val="clear" w:color="auto" w:fill="FFFFFF"/>
        </w:rPr>
        <w:t> </w:t>
      </w:r>
      <w:proofErr w:type="gramStart"/>
      <w:r w:rsidRPr="00386176">
        <w:rPr>
          <w:i/>
          <w:iCs/>
          <w:color w:val="222222"/>
          <w:sz w:val="18"/>
          <w:szCs w:val="18"/>
          <w:shd w:val="clear" w:color="auto" w:fill="FFFFFF"/>
        </w:rPr>
        <w:t>PLOS One</w:t>
      </w:r>
      <w:r w:rsidRPr="00386176">
        <w:rPr>
          <w:rStyle w:val="apple-converted-space"/>
          <w:color w:val="222222"/>
          <w:sz w:val="18"/>
          <w:szCs w:val="18"/>
          <w:shd w:val="clear" w:color="auto" w:fill="FFFFFF"/>
        </w:rPr>
        <w:t> </w:t>
      </w:r>
      <w:r w:rsidRPr="00386176">
        <w:rPr>
          <w:color w:val="222222"/>
          <w:sz w:val="18"/>
          <w:szCs w:val="18"/>
          <w:shd w:val="clear" w:color="auto" w:fill="FFFFFF"/>
        </w:rPr>
        <w:t>9(9).</w:t>
      </w:r>
      <w:proofErr w:type="gramEnd"/>
      <w:r w:rsidRPr="00386176">
        <w:rPr>
          <w:color w:val="222222"/>
          <w:sz w:val="18"/>
          <w:szCs w:val="18"/>
          <w:shd w:val="clear" w:color="auto" w:fill="FFFFFF"/>
        </w:rPr>
        <w:t xml:space="preserve"> </w:t>
      </w:r>
      <w:r w:rsidRPr="00386176">
        <w:rPr>
          <w:sz w:val="18"/>
          <w:szCs w:val="18"/>
        </w:rPr>
        <w:t>doi:10.1371/journal.pone.0107104.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cala">
    <w:altName w:val="Rockwell"/>
    <w:charset w:val="00"/>
    <w:family w:val="roman"/>
    <w:pitch w:val="variable"/>
    <w:sig w:usb0="00000003"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calaSans-Caps">
    <w:altName w:val="Century Gothic"/>
    <w:charset w:val="00"/>
    <w:family w:val="swiss"/>
    <w:pitch w:val="variable"/>
    <w:sig w:usb0="00000003" w:usb1="00000040" w:usb2="00000000" w:usb3="00000000" w:csb0="00000001" w:csb1="00000000"/>
  </w:font>
  <w:font w:name="ScalaSans-Bold">
    <w:charset w:val="00"/>
    <w:family w:val="swiss"/>
    <w:pitch w:val="variable"/>
    <w:sig w:usb0="800000AF" w:usb1="10000048" w:usb2="00000000" w:usb3="00000000" w:csb0="00000001" w:csb1="00000000"/>
  </w:font>
  <w:font w:name="ScalaSans">
    <w:charset w:val="00"/>
    <w:family w:val="swiss"/>
    <w:pitch w:val="variable"/>
    <w:sig w:usb0="800000AF" w:usb1="10000048" w:usb2="00000000" w:usb3="00000000" w:csb0="00000001" w:csb1="00000000"/>
  </w:font>
  <w:font w:name="Scala-Italic">
    <w:charset w:val="00"/>
    <w:family w:val="roman"/>
    <w:pitch w:val="variable"/>
    <w:sig w:usb0="0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dvTimRomLieber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2A863" w14:textId="77777777" w:rsidR="00CA5E2C" w:rsidRDefault="00CA5E2C">
    <w:pPr>
      <w:pStyle w:val="Footer"/>
      <w:jc w:val="center"/>
      <w:rPr>
        <w:rFonts w:ascii="ScalaSans-Caps" w:hAnsi="ScalaSans-Caps"/>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78D35" w14:textId="77777777" w:rsidR="00CA5E2C" w:rsidRDefault="00CA5E2C" w:rsidP="003D39A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02D48" w14:textId="77777777" w:rsidR="007F4677" w:rsidRDefault="007F4677">
      <w:r>
        <w:separator/>
      </w:r>
    </w:p>
  </w:footnote>
  <w:footnote w:type="continuationSeparator" w:id="0">
    <w:p w14:paraId="2B319A68" w14:textId="77777777" w:rsidR="007F4677" w:rsidRDefault="007F46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DD05A" w14:textId="77777777" w:rsidR="00CA5E2C" w:rsidRDefault="00CA5E2C" w:rsidP="00131491">
    <w:pPr>
      <w:pStyle w:val="Header"/>
      <w:ind w:left="-1440"/>
      <w:jc w:val="right"/>
    </w:pPr>
    <w:r>
      <w:rPr>
        <w:noProof/>
      </w:rPr>
      <mc:AlternateContent>
        <mc:Choice Requires="wps">
          <w:drawing>
            <wp:anchor distT="0" distB="0" distL="114300" distR="114300" simplePos="0" relativeHeight="251659264" behindDoc="0" locked="0" layoutInCell="1" allowOverlap="1" wp14:anchorId="0839FBCD" wp14:editId="337DAD28">
              <wp:simplePos x="0" y="0"/>
              <wp:positionH relativeFrom="column">
                <wp:posOffset>330200</wp:posOffset>
              </wp:positionH>
              <wp:positionV relativeFrom="paragraph">
                <wp:posOffset>2540</wp:posOffset>
              </wp:positionV>
              <wp:extent cx="2305050" cy="692150"/>
              <wp:effectExtent l="0" t="0" r="0" b="0"/>
              <wp:wrapNone/>
              <wp:docPr id="3" name="Text Box 3"/>
              <wp:cNvGraphicFramePr/>
              <a:graphic xmlns:a="http://schemas.openxmlformats.org/drawingml/2006/main">
                <a:graphicData uri="http://schemas.microsoft.com/office/word/2010/wordprocessingShape">
                  <wps:wsp>
                    <wps:cNvSpPr txBox="1"/>
                    <wps:spPr>
                      <a:xfrm>
                        <a:off x="0" y="0"/>
                        <a:ext cx="2305050" cy="692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EDFF83" w14:textId="77777777" w:rsidR="00CA5E2C" w:rsidRDefault="00CA5E2C">
                          <w:r>
                            <w:rPr>
                              <w:noProof/>
                            </w:rPr>
                            <w:drawing>
                              <wp:inline distT="0" distB="0" distL="0" distR="0" wp14:anchorId="69C75D00" wp14:editId="2047BDBE">
                                <wp:extent cx="2115820" cy="5170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5820" cy="517078"/>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6pt;margin-top:.2pt;width:181.5pt;height:5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" fillcolor="white [3201]" stroked="f" strokeweight=".5pt">
              <v:textbox>
                <w:txbxContent>
                  <w:p w14:paraId="39EDFF83" w14:textId="77777777" w:rsidR="00CA5E2C" w:rsidRDefault="00CA5E2C">
                    <w:r>
                      <w:rPr>
                        <w:noProof/>
                      </w:rPr>
                      <w:drawing>
                        <wp:inline distT="0" distB="0" distL="0" distR="0" wp14:anchorId="69C75D00" wp14:editId="2047BDBE">
                          <wp:extent cx="2115820" cy="5170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5820" cy="517078"/>
                                  </a:xfrm>
                                  <a:prstGeom prst="rect">
                                    <a:avLst/>
                                  </a:prstGeom>
                                  <a:noFill/>
                                </pic:spPr>
                              </pic:pic>
                            </a:graphicData>
                          </a:graphic>
                        </wp:inline>
                      </w:drawing>
                    </w:r>
                  </w:p>
                </w:txbxContent>
              </v:textbox>
            </v:shape>
          </w:pict>
        </mc:Fallback>
      </mc:AlternateContent>
    </w:r>
    <w:r>
      <w:rPr>
        <w:noProof/>
      </w:rPr>
      <w:drawing>
        <wp:inline distT="0" distB="0" distL="0" distR="0" wp14:anchorId="7768AE85" wp14:editId="05FC201A">
          <wp:extent cx="2755900" cy="914400"/>
          <wp:effectExtent l="0" t="0" r="6350" b="0"/>
          <wp:docPr id="2" name="Picture 2" descr="TFI_primar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FI_primaryLogo"/>
                  <pic:cNvPicPr>
                    <a:picLocks noChangeAspect="1" noChangeArrowheads="1"/>
                  </pic:cNvPicPr>
                </pic:nvPicPr>
                <pic:blipFill>
                  <a:blip r:embed="rId3"/>
                  <a:srcRect/>
                  <a:stretch>
                    <a:fillRect/>
                  </a:stretch>
                </pic:blipFill>
                <pic:spPr bwMode="auto">
                  <a:xfrm>
                    <a:off x="0" y="0"/>
                    <a:ext cx="2755900"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071"/>
    <w:multiLevelType w:val="hybridMultilevel"/>
    <w:tmpl w:val="442A8D3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54290"/>
    <w:multiLevelType w:val="hybridMultilevel"/>
    <w:tmpl w:val="8044183C"/>
    <w:lvl w:ilvl="0" w:tplc="13561B72">
      <w:start w:val="1"/>
      <w:numFmt w:val="bullet"/>
      <w:lvlText w:val=""/>
      <w:lvlJc w:val="left"/>
      <w:pPr>
        <w:tabs>
          <w:tab w:val="num" w:pos="720"/>
        </w:tabs>
        <w:ind w:left="720" w:hanging="360"/>
      </w:pPr>
      <w:rPr>
        <w:rFonts w:ascii="Wingdings" w:hAnsi="Wingdings" w:hint="default"/>
      </w:rPr>
    </w:lvl>
    <w:lvl w:ilvl="1" w:tplc="582E3902" w:tentative="1">
      <w:start w:val="1"/>
      <w:numFmt w:val="bullet"/>
      <w:lvlText w:val=""/>
      <w:lvlJc w:val="left"/>
      <w:pPr>
        <w:tabs>
          <w:tab w:val="num" w:pos="1440"/>
        </w:tabs>
        <w:ind w:left="1440" w:hanging="360"/>
      </w:pPr>
      <w:rPr>
        <w:rFonts w:ascii="Wingdings" w:hAnsi="Wingdings" w:hint="default"/>
      </w:rPr>
    </w:lvl>
    <w:lvl w:ilvl="2" w:tplc="78D88D2A" w:tentative="1">
      <w:start w:val="1"/>
      <w:numFmt w:val="bullet"/>
      <w:lvlText w:val=""/>
      <w:lvlJc w:val="left"/>
      <w:pPr>
        <w:tabs>
          <w:tab w:val="num" w:pos="2160"/>
        </w:tabs>
        <w:ind w:left="2160" w:hanging="360"/>
      </w:pPr>
      <w:rPr>
        <w:rFonts w:ascii="Wingdings" w:hAnsi="Wingdings" w:hint="default"/>
      </w:rPr>
    </w:lvl>
    <w:lvl w:ilvl="3" w:tplc="FA2CFDC4" w:tentative="1">
      <w:start w:val="1"/>
      <w:numFmt w:val="bullet"/>
      <w:lvlText w:val=""/>
      <w:lvlJc w:val="left"/>
      <w:pPr>
        <w:tabs>
          <w:tab w:val="num" w:pos="2880"/>
        </w:tabs>
        <w:ind w:left="2880" w:hanging="360"/>
      </w:pPr>
      <w:rPr>
        <w:rFonts w:ascii="Wingdings" w:hAnsi="Wingdings" w:hint="default"/>
      </w:rPr>
    </w:lvl>
    <w:lvl w:ilvl="4" w:tplc="ED964C00" w:tentative="1">
      <w:start w:val="1"/>
      <w:numFmt w:val="bullet"/>
      <w:lvlText w:val=""/>
      <w:lvlJc w:val="left"/>
      <w:pPr>
        <w:tabs>
          <w:tab w:val="num" w:pos="3600"/>
        </w:tabs>
        <w:ind w:left="3600" w:hanging="360"/>
      </w:pPr>
      <w:rPr>
        <w:rFonts w:ascii="Wingdings" w:hAnsi="Wingdings" w:hint="default"/>
      </w:rPr>
    </w:lvl>
    <w:lvl w:ilvl="5" w:tplc="26AA9C50" w:tentative="1">
      <w:start w:val="1"/>
      <w:numFmt w:val="bullet"/>
      <w:lvlText w:val=""/>
      <w:lvlJc w:val="left"/>
      <w:pPr>
        <w:tabs>
          <w:tab w:val="num" w:pos="4320"/>
        </w:tabs>
        <w:ind w:left="4320" w:hanging="360"/>
      </w:pPr>
      <w:rPr>
        <w:rFonts w:ascii="Wingdings" w:hAnsi="Wingdings" w:hint="default"/>
      </w:rPr>
    </w:lvl>
    <w:lvl w:ilvl="6" w:tplc="3F669380" w:tentative="1">
      <w:start w:val="1"/>
      <w:numFmt w:val="bullet"/>
      <w:lvlText w:val=""/>
      <w:lvlJc w:val="left"/>
      <w:pPr>
        <w:tabs>
          <w:tab w:val="num" w:pos="5040"/>
        </w:tabs>
        <w:ind w:left="5040" w:hanging="360"/>
      </w:pPr>
      <w:rPr>
        <w:rFonts w:ascii="Wingdings" w:hAnsi="Wingdings" w:hint="default"/>
      </w:rPr>
    </w:lvl>
    <w:lvl w:ilvl="7" w:tplc="13E805D0" w:tentative="1">
      <w:start w:val="1"/>
      <w:numFmt w:val="bullet"/>
      <w:lvlText w:val=""/>
      <w:lvlJc w:val="left"/>
      <w:pPr>
        <w:tabs>
          <w:tab w:val="num" w:pos="5760"/>
        </w:tabs>
        <w:ind w:left="5760" w:hanging="360"/>
      </w:pPr>
      <w:rPr>
        <w:rFonts w:ascii="Wingdings" w:hAnsi="Wingdings" w:hint="default"/>
      </w:rPr>
    </w:lvl>
    <w:lvl w:ilvl="8" w:tplc="68E0C556" w:tentative="1">
      <w:start w:val="1"/>
      <w:numFmt w:val="bullet"/>
      <w:lvlText w:val=""/>
      <w:lvlJc w:val="left"/>
      <w:pPr>
        <w:tabs>
          <w:tab w:val="num" w:pos="6480"/>
        </w:tabs>
        <w:ind w:left="6480" w:hanging="360"/>
      </w:pPr>
      <w:rPr>
        <w:rFonts w:ascii="Wingdings" w:hAnsi="Wingdings" w:hint="default"/>
      </w:rPr>
    </w:lvl>
  </w:abstractNum>
  <w:abstractNum w:abstractNumId="2">
    <w:nsid w:val="091E7971"/>
    <w:multiLevelType w:val="hybridMultilevel"/>
    <w:tmpl w:val="D9786E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6B21D0"/>
    <w:multiLevelType w:val="hybridMultilevel"/>
    <w:tmpl w:val="62D26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722FC6"/>
    <w:multiLevelType w:val="hybridMultilevel"/>
    <w:tmpl w:val="A478296A"/>
    <w:lvl w:ilvl="0" w:tplc="A2A29662">
      <w:start w:val="114"/>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135ED4"/>
    <w:multiLevelType w:val="hybridMultilevel"/>
    <w:tmpl w:val="77569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14DEB5"/>
    <w:multiLevelType w:val="hybridMultilevel"/>
    <w:tmpl w:val="329AA966"/>
    <w:lvl w:ilvl="0" w:tplc="FFFFFFFF">
      <w:start w:val="1"/>
      <w:numFmt w:val="decimal"/>
      <w:lvlText w:val="%1."/>
      <w:lvlJc w:val="left"/>
    </w:lvl>
    <w:lvl w:ilvl="1" w:tplc="5776DBCA">
      <w:start w:val="1"/>
      <w:numFmt w:val="decimal"/>
      <w:lvlText w:val="%2."/>
      <w:lvlJc w:val="left"/>
      <w:rPr>
        <w:rFonts w:ascii="Calibri" w:eastAsiaTheme="minorHAnsi" w:hAnsi="Calibri" w:cs="Times New Roman"/>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79E10D6"/>
    <w:multiLevelType w:val="hybridMultilevel"/>
    <w:tmpl w:val="B5480B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B951ED"/>
    <w:multiLevelType w:val="hybridMultilevel"/>
    <w:tmpl w:val="66D20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764B02"/>
    <w:multiLevelType w:val="hybridMultilevel"/>
    <w:tmpl w:val="9784350A"/>
    <w:lvl w:ilvl="0" w:tplc="0409000F">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454E51"/>
    <w:multiLevelType w:val="hybridMultilevel"/>
    <w:tmpl w:val="64B6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E850B5"/>
    <w:multiLevelType w:val="hybridMultilevel"/>
    <w:tmpl w:val="CEAC5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D42E5E"/>
    <w:multiLevelType w:val="hybridMultilevel"/>
    <w:tmpl w:val="E9D06FD2"/>
    <w:lvl w:ilvl="0" w:tplc="0409000F">
      <w:start w:val="7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9D16AF"/>
    <w:multiLevelType w:val="hybridMultilevel"/>
    <w:tmpl w:val="A65CC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DD379C"/>
    <w:multiLevelType w:val="hybridMultilevel"/>
    <w:tmpl w:val="8D94E970"/>
    <w:lvl w:ilvl="0" w:tplc="FEA8FCA4">
      <w:start w:val="6"/>
      <w:numFmt w:val="decimal"/>
      <w:lvlText w:val="%1."/>
      <w:lvlJc w:val="left"/>
      <w:pPr>
        <w:ind w:left="720" w:hanging="360"/>
      </w:pPr>
      <w:rPr>
        <w:rFonts w:hint="default"/>
        <w:color w:val="00000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144BD6"/>
    <w:multiLevelType w:val="hybridMultilevel"/>
    <w:tmpl w:val="2B22F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2B0BE4"/>
    <w:multiLevelType w:val="hybridMultilevel"/>
    <w:tmpl w:val="05782D82"/>
    <w:lvl w:ilvl="0" w:tplc="0409000F">
      <w:start w:val="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EB43C2"/>
    <w:multiLevelType w:val="hybridMultilevel"/>
    <w:tmpl w:val="C720B54A"/>
    <w:lvl w:ilvl="0" w:tplc="E54C594A">
      <w:start w:val="1"/>
      <w:numFmt w:val="lowerLetter"/>
      <w:lvlText w:val="%1."/>
      <w:lvlJc w:val="left"/>
      <w:pPr>
        <w:ind w:left="1440" w:hanging="360"/>
      </w:pPr>
      <w:rPr>
        <w:rFonts w:hint="default"/>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BD92C4F"/>
    <w:multiLevelType w:val="hybridMultilevel"/>
    <w:tmpl w:val="17207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5E1FFD"/>
    <w:multiLevelType w:val="hybridMultilevel"/>
    <w:tmpl w:val="E368A968"/>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12"/>
  </w:num>
  <w:num w:numId="4">
    <w:abstractNumId w:val="19"/>
  </w:num>
  <w:num w:numId="5">
    <w:abstractNumId w:val="9"/>
  </w:num>
  <w:num w:numId="6">
    <w:abstractNumId w:val="16"/>
  </w:num>
  <w:num w:numId="7">
    <w:abstractNumId w:val="4"/>
  </w:num>
  <w:num w:numId="8">
    <w:abstractNumId w:val="6"/>
  </w:num>
  <w:num w:numId="9">
    <w:abstractNumId w:val="3"/>
  </w:num>
  <w:num w:numId="10">
    <w:abstractNumId w:val="14"/>
  </w:num>
  <w:num w:numId="11">
    <w:abstractNumId w:val="2"/>
  </w:num>
  <w:num w:numId="12">
    <w:abstractNumId w:val="7"/>
  </w:num>
  <w:num w:numId="13">
    <w:abstractNumId w:val="17"/>
  </w:num>
  <w:num w:numId="14">
    <w:abstractNumId w:val="18"/>
  </w:num>
  <w:num w:numId="15">
    <w:abstractNumId w:val="11"/>
  </w:num>
  <w:num w:numId="16">
    <w:abstractNumId w:val="15"/>
  </w:num>
  <w:num w:numId="17">
    <w:abstractNumId w:val="10"/>
  </w:num>
  <w:num w:numId="18">
    <w:abstractNumId w:val="5"/>
  </w:num>
  <w:num w:numId="19">
    <w:abstractNumId w:val="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366"/>
    <w:rsid w:val="00001266"/>
    <w:rsid w:val="0000273D"/>
    <w:rsid w:val="000030BE"/>
    <w:rsid w:val="00003EFE"/>
    <w:rsid w:val="000201F4"/>
    <w:rsid w:val="0006736E"/>
    <w:rsid w:val="00070D79"/>
    <w:rsid w:val="00074D85"/>
    <w:rsid w:val="00082A5C"/>
    <w:rsid w:val="00083F29"/>
    <w:rsid w:val="00096F19"/>
    <w:rsid w:val="000B3B2E"/>
    <w:rsid w:val="000B3E1B"/>
    <w:rsid w:val="000B4838"/>
    <w:rsid w:val="000B723D"/>
    <w:rsid w:val="000C528E"/>
    <w:rsid w:val="000C5B28"/>
    <w:rsid w:val="000C5C04"/>
    <w:rsid w:val="000D2177"/>
    <w:rsid w:val="000D5694"/>
    <w:rsid w:val="0010307C"/>
    <w:rsid w:val="001052CD"/>
    <w:rsid w:val="00111C0E"/>
    <w:rsid w:val="00125729"/>
    <w:rsid w:val="00131491"/>
    <w:rsid w:val="0013279C"/>
    <w:rsid w:val="001420E4"/>
    <w:rsid w:val="00153037"/>
    <w:rsid w:val="0016018A"/>
    <w:rsid w:val="00163459"/>
    <w:rsid w:val="001837C2"/>
    <w:rsid w:val="001846C8"/>
    <w:rsid w:val="00185329"/>
    <w:rsid w:val="0018586D"/>
    <w:rsid w:val="001A5BB2"/>
    <w:rsid w:val="001B49F6"/>
    <w:rsid w:val="001B6F78"/>
    <w:rsid w:val="001C2E9E"/>
    <w:rsid w:val="001F2065"/>
    <w:rsid w:val="001F4949"/>
    <w:rsid w:val="00217323"/>
    <w:rsid w:val="0023454F"/>
    <w:rsid w:val="00236326"/>
    <w:rsid w:val="00240517"/>
    <w:rsid w:val="0024561A"/>
    <w:rsid w:val="00256FB7"/>
    <w:rsid w:val="00260D5A"/>
    <w:rsid w:val="002914C5"/>
    <w:rsid w:val="00291785"/>
    <w:rsid w:val="002A59AD"/>
    <w:rsid w:val="002C08C8"/>
    <w:rsid w:val="002C5D44"/>
    <w:rsid w:val="002F3DA7"/>
    <w:rsid w:val="002F628C"/>
    <w:rsid w:val="003252C2"/>
    <w:rsid w:val="003266CC"/>
    <w:rsid w:val="00333278"/>
    <w:rsid w:val="00337834"/>
    <w:rsid w:val="00342163"/>
    <w:rsid w:val="003569E5"/>
    <w:rsid w:val="00361577"/>
    <w:rsid w:val="003751B2"/>
    <w:rsid w:val="00395FBA"/>
    <w:rsid w:val="003A0D30"/>
    <w:rsid w:val="003C438C"/>
    <w:rsid w:val="003C6535"/>
    <w:rsid w:val="003D39A7"/>
    <w:rsid w:val="003D433A"/>
    <w:rsid w:val="003F3A7D"/>
    <w:rsid w:val="003F4C17"/>
    <w:rsid w:val="003F689B"/>
    <w:rsid w:val="003F72DE"/>
    <w:rsid w:val="00405735"/>
    <w:rsid w:val="00433D7F"/>
    <w:rsid w:val="00455EA6"/>
    <w:rsid w:val="00482F27"/>
    <w:rsid w:val="00482FD8"/>
    <w:rsid w:val="00485ECC"/>
    <w:rsid w:val="004B4440"/>
    <w:rsid w:val="004C6B03"/>
    <w:rsid w:val="004D7A33"/>
    <w:rsid w:val="004E5A15"/>
    <w:rsid w:val="00511E3D"/>
    <w:rsid w:val="0052353A"/>
    <w:rsid w:val="00525D24"/>
    <w:rsid w:val="005414A0"/>
    <w:rsid w:val="00563CA2"/>
    <w:rsid w:val="0056495D"/>
    <w:rsid w:val="00581C67"/>
    <w:rsid w:val="005922BE"/>
    <w:rsid w:val="00594B60"/>
    <w:rsid w:val="005A238B"/>
    <w:rsid w:val="005B0AF6"/>
    <w:rsid w:val="005C3366"/>
    <w:rsid w:val="005C641E"/>
    <w:rsid w:val="005D35C3"/>
    <w:rsid w:val="005F2595"/>
    <w:rsid w:val="005F7551"/>
    <w:rsid w:val="00602DA7"/>
    <w:rsid w:val="006228BA"/>
    <w:rsid w:val="006352B4"/>
    <w:rsid w:val="006368F2"/>
    <w:rsid w:val="00637FD2"/>
    <w:rsid w:val="00646AB5"/>
    <w:rsid w:val="00663017"/>
    <w:rsid w:val="00666141"/>
    <w:rsid w:val="00682013"/>
    <w:rsid w:val="006875FC"/>
    <w:rsid w:val="00690733"/>
    <w:rsid w:val="0069130B"/>
    <w:rsid w:val="00696EC5"/>
    <w:rsid w:val="006A0EFB"/>
    <w:rsid w:val="006A1D0D"/>
    <w:rsid w:val="006C6CC4"/>
    <w:rsid w:val="006E0DDC"/>
    <w:rsid w:val="006F36FB"/>
    <w:rsid w:val="00704FFF"/>
    <w:rsid w:val="007176BE"/>
    <w:rsid w:val="00725151"/>
    <w:rsid w:val="00730211"/>
    <w:rsid w:val="007420AF"/>
    <w:rsid w:val="00747654"/>
    <w:rsid w:val="007621ED"/>
    <w:rsid w:val="0076444A"/>
    <w:rsid w:val="00771B54"/>
    <w:rsid w:val="007725EF"/>
    <w:rsid w:val="007A1A6C"/>
    <w:rsid w:val="007B2E6B"/>
    <w:rsid w:val="007C6E13"/>
    <w:rsid w:val="007F1976"/>
    <w:rsid w:val="007F4677"/>
    <w:rsid w:val="00824675"/>
    <w:rsid w:val="00824957"/>
    <w:rsid w:val="00843DB4"/>
    <w:rsid w:val="0084553D"/>
    <w:rsid w:val="0085138D"/>
    <w:rsid w:val="00864FD8"/>
    <w:rsid w:val="008876B3"/>
    <w:rsid w:val="008912B1"/>
    <w:rsid w:val="00893693"/>
    <w:rsid w:val="008A3883"/>
    <w:rsid w:val="008A4D55"/>
    <w:rsid w:val="008B1F56"/>
    <w:rsid w:val="008E2699"/>
    <w:rsid w:val="008E294F"/>
    <w:rsid w:val="008E696C"/>
    <w:rsid w:val="008F1679"/>
    <w:rsid w:val="008F1E5C"/>
    <w:rsid w:val="009029F4"/>
    <w:rsid w:val="00905FD5"/>
    <w:rsid w:val="00924D38"/>
    <w:rsid w:val="009333EB"/>
    <w:rsid w:val="00935A9E"/>
    <w:rsid w:val="00956931"/>
    <w:rsid w:val="00957231"/>
    <w:rsid w:val="00975A70"/>
    <w:rsid w:val="00981AE2"/>
    <w:rsid w:val="00981F4A"/>
    <w:rsid w:val="009869AE"/>
    <w:rsid w:val="0099473A"/>
    <w:rsid w:val="009B1BB8"/>
    <w:rsid w:val="009B5814"/>
    <w:rsid w:val="009C280C"/>
    <w:rsid w:val="009E1B3F"/>
    <w:rsid w:val="009F377B"/>
    <w:rsid w:val="009F4045"/>
    <w:rsid w:val="00A14B58"/>
    <w:rsid w:val="00A16AA7"/>
    <w:rsid w:val="00A323F0"/>
    <w:rsid w:val="00A331B8"/>
    <w:rsid w:val="00A56407"/>
    <w:rsid w:val="00A568F1"/>
    <w:rsid w:val="00A67C97"/>
    <w:rsid w:val="00A70344"/>
    <w:rsid w:val="00A773E7"/>
    <w:rsid w:val="00A86129"/>
    <w:rsid w:val="00AA5796"/>
    <w:rsid w:val="00AC7BE1"/>
    <w:rsid w:val="00AD0FFC"/>
    <w:rsid w:val="00AE4C0D"/>
    <w:rsid w:val="00AE689D"/>
    <w:rsid w:val="00AF016C"/>
    <w:rsid w:val="00AF1DF1"/>
    <w:rsid w:val="00AF45E7"/>
    <w:rsid w:val="00AF5B9B"/>
    <w:rsid w:val="00B24190"/>
    <w:rsid w:val="00B43D85"/>
    <w:rsid w:val="00B50010"/>
    <w:rsid w:val="00B53372"/>
    <w:rsid w:val="00B56732"/>
    <w:rsid w:val="00B75BBA"/>
    <w:rsid w:val="00B936EF"/>
    <w:rsid w:val="00B961A1"/>
    <w:rsid w:val="00BA0551"/>
    <w:rsid w:val="00BA156C"/>
    <w:rsid w:val="00BA1624"/>
    <w:rsid w:val="00BC4945"/>
    <w:rsid w:val="00BE10AE"/>
    <w:rsid w:val="00BE6A70"/>
    <w:rsid w:val="00BF52D9"/>
    <w:rsid w:val="00C00E93"/>
    <w:rsid w:val="00C03662"/>
    <w:rsid w:val="00C04A49"/>
    <w:rsid w:val="00C1238D"/>
    <w:rsid w:val="00C51616"/>
    <w:rsid w:val="00C65C87"/>
    <w:rsid w:val="00C7142C"/>
    <w:rsid w:val="00C71E19"/>
    <w:rsid w:val="00C74A90"/>
    <w:rsid w:val="00C907E3"/>
    <w:rsid w:val="00C97B1A"/>
    <w:rsid w:val="00CA5E2C"/>
    <w:rsid w:val="00CB3F2E"/>
    <w:rsid w:val="00CC396A"/>
    <w:rsid w:val="00CD7B19"/>
    <w:rsid w:val="00CE08F2"/>
    <w:rsid w:val="00CE4F94"/>
    <w:rsid w:val="00CE5277"/>
    <w:rsid w:val="00CE5367"/>
    <w:rsid w:val="00CE7278"/>
    <w:rsid w:val="00D00B8A"/>
    <w:rsid w:val="00D03A50"/>
    <w:rsid w:val="00D33B66"/>
    <w:rsid w:val="00D5286B"/>
    <w:rsid w:val="00D57603"/>
    <w:rsid w:val="00D5778F"/>
    <w:rsid w:val="00D61EA8"/>
    <w:rsid w:val="00D803D0"/>
    <w:rsid w:val="00D83211"/>
    <w:rsid w:val="00D87612"/>
    <w:rsid w:val="00D94748"/>
    <w:rsid w:val="00D95F65"/>
    <w:rsid w:val="00DA2D94"/>
    <w:rsid w:val="00DB45D1"/>
    <w:rsid w:val="00DC15F2"/>
    <w:rsid w:val="00DC7E85"/>
    <w:rsid w:val="00E07F5F"/>
    <w:rsid w:val="00E241F7"/>
    <w:rsid w:val="00E436CF"/>
    <w:rsid w:val="00E4771B"/>
    <w:rsid w:val="00E52310"/>
    <w:rsid w:val="00E544AF"/>
    <w:rsid w:val="00E84713"/>
    <w:rsid w:val="00E84A39"/>
    <w:rsid w:val="00E87232"/>
    <w:rsid w:val="00EB17D7"/>
    <w:rsid w:val="00ED1F1F"/>
    <w:rsid w:val="00EF42C1"/>
    <w:rsid w:val="00F33D66"/>
    <w:rsid w:val="00F363D8"/>
    <w:rsid w:val="00F37678"/>
    <w:rsid w:val="00F3773C"/>
    <w:rsid w:val="00F46161"/>
    <w:rsid w:val="00F5032C"/>
    <w:rsid w:val="00F6283D"/>
    <w:rsid w:val="00F628F1"/>
    <w:rsid w:val="00F74C28"/>
    <w:rsid w:val="00F961AB"/>
    <w:rsid w:val="00FC18DB"/>
    <w:rsid w:val="00FC681E"/>
    <w:rsid w:val="00FE0ACE"/>
    <w:rsid w:val="00FE7341"/>
    <w:rsid w:val="00FF1B22"/>
    <w:rsid w:val="00FF358B"/>
    <w:rsid w:val="00FF4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73A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138D"/>
    <w:rPr>
      <w:sz w:val="24"/>
      <w:szCs w:val="24"/>
    </w:rPr>
  </w:style>
  <w:style w:type="paragraph" w:styleId="Heading1">
    <w:name w:val="heading 1"/>
    <w:basedOn w:val="Normal"/>
    <w:next w:val="Normal"/>
    <w:qFormat/>
    <w:rsid w:val="0085138D"/>
    <w:pPr>
      <w:keepNext/>
      <w:outlineLvl w:val="0"/>
    </w:pPr>
    <w:rPr>
      <w:rFonts w:ascii="Scala" w:eastAsia="Arial Unicode MS" w:hAnsi="Scala" w:cs="Arial Unicode MS"/>
      <w:i/>
      <w:iCs/>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138D"/>
    <w:pPr>
      <w:tabs>
        <w:tab w:val="center" w:pos="4320"/>
        <w:tab w:val="right" w:pos="8640"/>
      </w:tabs>
    </w:pPr>
  </w:style>
  <w:style w:type="paragraph" w:styleId="Footer">
    <w:name w:val="footer"/>
    <w:basedOn w:val="Normal"/>
    <w:rsid w:val="0085138D"/>
    <w:pPr>
      <w:tabs>
        <w:tab w:val="center" w:pos="4320"/>
        <w:tab w:val="right" w:pos="8640"/>
      </w:tabs>
    </w:pPr>
  </w:style>
  <w:style w:type="paragraph" w:styleId="NormalWeb">
    <w:name w:val="Normal (Web)"/>
    <w:basedOn w:val="Normal"/>
    <w:rsid w:val="0085138D"/>
    <w:pPr>
      <w:spacing w:before="100" w:beforeAutospacing="1" w:after="100" w:afterAutospacing="1"/>
    </w:pPr>
  </w:style>
  <w:style w:type="character" w:styleId="PageNumber">
    <w:name w:val="page number"/>
    <w:basedOn w:val="DefaultParagraphFont"/>
    <w:rsid w:val="0085138D"/>
  </w:style>
  <w:style w:type="paragraph" w:customStyle="1" w:styleId="body-text">
    <w:name w:val="body-text"/>
    <w:basedOn w:val="Normal"/>
    <w:rsid w:val="0085138D"/>
    <w:pPr>
      <w:spacing w:line="260" w:lineRule="exact"/>
    </w:pPr>
    <w:rPr>
      <w:rFonts w:ascii="Scala" w:hAnsi="Scala"/>
      <w:sz w:val="22"/>
      <w:szCs w:val="22"/>
    </w:rPr>
  </w:style>
  <w:style w:type="character" w:customStyle="1" w:styleId="textbody1">
    <w:name w:val="textbody1"/>
    <w:basedOn w:val="DefaultParagraphFont"/>
    <w:rsid w:val="0085138D"/>
    <w:rPr>
      <w:rFonts w:ascii="Times New Roman" w:hAnsi="Times New Roman" w:cs="Times New Roman" w:hint="default"/>
      <w:b w:val="0"/>
      <w:bCs w:val="0"/>
      <w:color w:val="000000"/>
      <w:sz w:val="20"/>
      <w:szCs w:val="20"/>
    </w:rPr>
  </w:style>
  <w:style w:type="paragraph" w:customStyle="1" w:styleId="FCH">
    <w:name w:val="FCH"/>
    <w:basedOn w:val="Normal"/>
    <w:rsid w:val="0085138D"/>
    <w:rPr>
      <w:rFonts w:ascii="ScalaSans-Caps" w:hAnsi="ScalaSans-Caps"/>
      <w:spacing w:val="16"/>
      <w:sz w:val="17"/>
      <w:szCs w:val="17"/>
    </w:rPr>
  </w:style>
  <w:style w:type="paragraph" w:customStyle="1" w:styleId="ltrhead1bold">
    <w:name w:val="ltrhead1 bold"/>
    <w:basedOn w:val="Normal"/>
    <w:rsid w:val="0085138D"/>
    <w:rPr>
      <w:rFonts w:ascii="ScalaSans-Bold" w:hAnsi="ScalaSans-Bold"/>
      <w:sz w:val="17"/>
      <w:szCs w:val="17"/>
    </w:rPr>
  </w:style>
  <w:style w:type="paragraph" w:customStyle="1" w:styleId="ltrhead1">
    <w:name w:val="ltrhead1"/>
    <w:basedOn w:val="Normal"/>
    <w:rsid w:val="0085138D"/>
    <w:rPr>
      <w:rFonts w:ascii="ScalaSans" w:hAnsi="ScalaSans"/>
      <w:sz w:val="17"/>
      <w:szCs w:val="17"/>
    </w:rPr>
  </w:style>
  <w:style w:type="paragraph" w:customStyle="1" w:styleId="board1">
    <w:name w:val="board1"/>
    <w:basedOn w:val="Normal"/>
    <w:rsid w:val="0085138D"/>
    <w:rPr>
      <w:rFonts w:ascii="Scala" w:hAnsi="Scala"/>
      <w:color w:val="000000"/>
      <w:sz w:val="15"/>
      <w:szCs w:val="15"/>
    </w:rPr>
  </w:style>
  <w:style w:type="paragraph" w:customStyle="1" w:styleId="board1italics">
    <w:name w:val="board1 italics"/>
    <w:basedOn w:val="Normal"/>
    <w:rsid w:val="0085138D"/>
    <w:rPr>
      <w:rFonts w:ascii="Scala-Italic" w:hAnsi="Scala-Italic"/>
      <w:i/>
      <w:iCs/>
      <w:color w:val="000000"/>
      <w:sz w:val="15"/>
      <w:szCs w:val="15"/>
    </w:rPr>
  </w:style>
  <w:style w:type="paragraph" w:customStyle="1" w:styleId="board0">
    <w:name w:val="board0"/>
    <w:basedOn w:val="Normal"/>
    <w:rsid w:val="0085138D"/>
    <w:rPr>
      <w:rFonts w:ascii="ScalaSans-Caps" w:hAnsi="ScalaSans-Caps"/>
      <w:color w:val="000000"/>
      <w:sz w:val="15"/>
      <w:szCs w:val="15"/>
    </w:rPr>
  </w:style>
  <w:style w:type="paragraph" w:styleId="BalloonText">
    <w:name w:val="Balloon Text"/>
    <w:basedOn w:val="Normal"/>
    <w:semiHidden/>
    <w:rsid w:val="00A56407"/>
    <w:rPr>
      <w:rFonts w:ascii="Tahoma" w:hAnsi="Tahoma" w:cs="Tahoma"/>
      <w:sz w:val="16"/>
      <w:szCs w:val="16"/>
    </w:rPr>
  </w:style>
  <w:style w:type="paragraph" w:styleId="NoSpacing">
    <w:name w:val="No Spacing"/>
    <w:uiPriority w:val="1"/>
    <w:qFormat/>
    <w:rsid w:val="00D57603"/>
    <w:rPr>
      <w:rFonts w:asciiTheme="minorHAnsi" w:eastAsiaTheme="minorEastAsia" w:hAnsiTheme="minorHAnsi" w:cstheme="minorBidi"/>
      <w:sz w:val="22"/>
      <w:szCs w:val="22"/>
    </w:rPr>
  </w:style>
  <w:style w:type="paragraph" w:styleId="ListParagraph">
    <w:name w:val="List Paragraph"/>
    <w:basedOn w:val="Normal"/>
    <w:uiPriority w:val="34"/>
    <w:qFormat/>
    <w:rsid w:val="00D57603"/>
    <w:pPr>
      <w:spacing w:after="200" w:line="276" w:lineRule="auto"/>
      <w:ind w:left="720"/>
      <w:contextualSpacing/>
    </w:pPr>
    <w:rPr>
      <w:rFonts w:asciiTheme="minorHAnsi" w:eastAsiaTheme="minorEastAsia" w:hAnsiTheme="minorHAnsi" w:cstheme="minorBidi"/>
      <w:sz w:val="22"/>
      <w:szCs w:val="22"/>
    </w:rPr>
  </w:style>
  <w:style w:type="paragraph" w:styleId="EndnoteText">
    <w:name w:val="endnote text"/>
    <w:basedOn w:val="Normal"/>
    <w:link w:val="EndnoteTextChar"/>
    <w:uiPriority w:val="99"/>
    <w:rsid w:val="00083F29"/>
    <w:rPr>
      <w:sz w:val="20"/>
      <w:szCs w:val="20"/>
    </w:rPr>
  </w:style>
  <w:style w:type="character" w:customStyle="1" w:styleId="EndnoteTextChar">
    <w:name w:val="Endnote Text Char"/>
    <w:basedOn w:val="DefaultParagraphFont"/>
    <w:link w:val="EndnoteText"/>
    <w:uiPriority w:val="99"/>
    <w:rsid w:val="00083F29"/>
  </w:style>
  <w:style w:type="character" w:styleId="Hyperlink">
    <w:name w:val="Hyperlink"/>
    <w:basedOn w:val="DefaultParagraphFont"/>
    <w:uiPriority w:val="99"/>
    <w:unhideWhenUsed/>
    <w:rsid w:val="00083F29"/>
    <w:rPr>
      <w:color w:val="0000FF"/>
      <w:u w:val="single"/>
    </w:rPr>
  </w:style>
  <w:style w:type="paragraph" w:customStyle="1" w:styleId="Default">
    <w:name w:val="Default"/>
    <w:rsid w:val="00083F29"/>
    <w:pPr>
      <w:autoSpaceDE w:val="0"/>
      <w:autoSpaceDN w:val="0"/>
      <w:adjustRightInd w:val="0"/>
    </w:pPr>
    <w:rPr>
      <w:rFonts w:eastAsia="Calibri"/>
      <w:color w:val="000000"/>
      <w:sz w:val="24"/>
      <w:szCs w:val="24"/>
    </w:rPr>
  </w:style>
  <w:style w:type="character" w:styleId="EndnoteReference">
    <w:name w:val="endnote reference"/>
    <w:basedOn w:val="DefaultParagraphFont"/>
    <w:uiPriority w:val="99"/>
    <w:unhideWhenUsed/>
    <w:rsid w:val="00083F29"/>
    <w:rPr>
      <w:vertAlign w:val="superscript"/>
    </w:rPr>
  </w:style>
  <w:style w:type="character" w:customStyle="1" w:styleId="apple-converted-space">
    <w:name w:val="apple-converted-space"/>
    <w:basedOn w:val="DefaultParagraphFont"/>
    <w:rsid w:val="00083F29"/>
  </w:style>
  <w:style w:type="paragraph" w:styleId="FootnoteText">
    <w:name w:val="footnote text"/>
    <w:basedOn w:val="Normal"/>
    <w:link w:val="FootnoteTextChar"/>
    <w:rsid w:val="0069130B"/>
    <w:rPr>
      <w:sz w:val="20"/>
      <w:szCs w:val="20"/>
    </w:rPr>
  </w:style>
  <w:style w:type="character" w:customStyle="1" w:styleId="FootnoteTextChar">
    <w:name w:val="Footnote Text Char"/>
    <w:basedOn w:val="DefaultParagraphFont"/>
    <w:link w:val="FootnoteText"/>
    <w:rsid w:val="0069130B"/>
  </w:style>
  <w:style w:type="character" w:styleId="FootnoteReference">
    <w:name w:val="footnote reference"/>
    <w:basedOn w:val="DefaultParagraphFont"/>
    <w:uiPriority w:val="99"/>
    <w:rsid w:val="0069130B"/>
    <w:rPr>
      <w:vertAlign w:val="superscript"/>
    </w:rPr>
  </w:style>
  <w:style w:type="character" w:styleId="CommentReference">
    <w:name w:val="annotation reference"/>
    <w:basedOn w:val="DefaultParagraphFont"/>
    <w:rsid w:val="00C04A49"/>
    <w:rPr>
      <w:sz w:val="18"/>
      <w:szCs w:val="18"/>
    </w:rPr>
  </w:style>
  <w:style w:type="paragraph" w:styleId="CommentText">
    <w:name w:val="annotation text"/>
    <w:basedOn w:val="Normal"/>
    <w:link w:val="CommentTextChar"/>
    <w:rsid w:val="00C04A49"/>
  </w:style>
  <w:style w:type="character" w:customStyle="1" w:styleId="CommentTextChar">
    <w:name w:val="Comment Text Char"/>
    <w:basedOn w:val="DefaultParagraphFont"/>
    <w:link w:val="CommentText"/>
    <w:rsid w:val="00C04A49"/>
    <w:rPr>
      <w:sz w:val="24"/>
      <w:szCs w:val="24"/>
    </w:rPr>
  </w:style>
  <w:style w:type="paragraph" w:styleId="CommentSubject">
    <w:name w:val="annotation subject"/>
    <w:basedOn w:val="CommentText"/>
    <w:next w:val="CommentText"/>
    <w:link w:val="CommentSubjectChar"/>
    <w:rsid w:val="00C04A49"/>
    <w:rPr>
      <w:b/>
      <w:bCs/>
      <w:sz w:val="20"/>
      <w:szCs w:val="20"/>
    </w:rPr>
  </w:style>
  <w:style w:type="character" w:customStyle="1" w:styleId="CommentSubjectChar">
    <w:name w:val="Comment Subject Char"/>
    <w:basedOn w:val="CommentTextChar"/>
    <w:link w:val="CommentSubject"/>
    <w:rsid w:val="00C04A49"/>
    <w:rPr>
      <w:b/>
      <w:bCs/>
      <w:sz w:val="24"/>
      <w:szCs w:val="24"/>
    </w:rPr>
  </w:style>
  <w:style w:type="paragraph" w:customStyle="1" w:styleId="s2">
    <w:name w:val="s2"/>
    <w:basedOn w:val="Normal"/>
    <w:rsid w:val="00BA0551"/>
    <w:pPr>
      <w:spacing w:before="100" w:beforeAutospacing="1" w:after="100" w:afterAutospacing="1"/>
    </w:pPr>
    <w:rPr>
      <w:rFonts w:eastAsiaTheme="minorHAnsi"/>
    </w:rPr>
  </w:style>
  <w:style w:type="character" w:customStyle="1" w:styleId="s4">
    <w:name w:val="s4"/>
    <w:basedOn w:val="DefaultParagraphFont"/>
    <w:rsid w:val="00BA0551"/>
  </w:style>
  <w:style w:type="character" w:customStyle="1" w:styleId="s11">
    <w:name w:val="s11"/>
    <w:basedOn w:val="DefaultParagraphFont"/>
    <w:rsid w:val="00BA05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138D"/>
    <w:rPr>
      <w:sz w:val="24"/>
      <w:szCs w:val="24"/>
    </w:rPr>
  </w:style>
  <w:style w:type="paragraph" w:styleId="Heading1">
    <w:name w:val="heading 1"/>
    <w:basedOn w:val="Normal"/>
    <w:next w:val="Normal"/>
    <w:qFormat/>
    <w:rsid w:val="0085138D"/>
    <w:pPr>
      <w:keepNext/>
      <w:outlineLvl w:val="0"/>
    </w:pPr>
    <w:rPr>
      <w:rFonts w:ascii="Scala" w:eastAsia="Arial Unicode MS" w:hAnsi="Scala" w:cs="Arial Unicode MS"/>
      <w:i/>
      <w:iCs/>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138D"/>
    <w:pPr>
      <w:tabs>
        <w:tab w:val="center" w:pos="4320"/>
        <w:tab w:val="right" w:pos="8640"/>
      </w:tabs>
    </w:pPr>
  </w:style>
  <w:style w:type="paragraph" w:styleId="Footer">
    <w:name w:val="footer"/>
    <w:basedOn w:val="Normal"/>
    <w:rsid w:val="0085138D"/>
    <w:pPr>
      <w:tabs>
        <w:tab w:val="center" w:pos="4320"/>
        <w:tab w:val="right" w:pos="8640"/>
      </w:tabs>
    </w:pPr>
  </w:style>
  <w:style w:type="paragraph" w:styleId="NormalWeb">
    <w:name w:val="Normal (Web)"/>
    <w:basedOn w:val="Normal"/>
    <w:rsid w:val="0085138D"/>
    <w:pPr>
      <w:spacing w:before="100" w:beforeAutospacing="1" w:after="100" w:afterAutospacing="1"/>
    </w:pPr>
  </w:style>
  <w:style w:type="character" w:styleId="PageNumber">
    <w:name w:val="page number"/>
    <w:basedOn w:val="DefaultParagraphFont"/>
    <w:rsid w:val="0085138D"/>
  </w:style>
  <w:style w:type="paragraph" w:customStyle="1" w:styleId="body-text">
    <w:name w:val="body-text"/>
    <w:basedOn w:val="Normal"/>
    <w:rsid w:val="0085138D"/>
    <w:pPr>
      <w:spacing w:line="260" w:lineRule="exact"/>
    </w:pPr>
    <w:rPr>
      <w:rFonts w:ascii="Scala" w:hAnsi="Scala"/>
      <w:sz w:val="22"/>
      <w:szCs w:val="22"/>
    </w:rPr>
  </w:style>
  <w:style w:type="character" w:customStyle="1" w:styleId="textbody1">
    <w:name w:val="textbody1"/>
    <w:basedOn w:val="DefaultParagraphFont"/>
    <w:rsid w:val="0085138D"/>
    <w:rPr>
      <w:rFonts w:ascii="Times New Roman" w:hAnsi="Times New Roman" w:cs="Times New Roman" w:hint="default"/>
      <w:b w:val="0"/>
      <w:bCs w:val="0"/>
      <w:color w:val="000000"/>
      <w:sz w:val="20"/>
      <w:szCs w:val="20"/>
    </w:rPr>
  </w:style>
  <w:style w:type="paragraph" w:customStyle="1" w:styleId="FCH">
    <w:name w:val="FCH"/>
    <w:basedOn w:val="Normal"/>
    <w:rsid w:val="0085138D"/>
    <w:rPr>
      <w:rFonts w:ascii="ScalaSans-Caps" w:hAnsi="ScalaSans-Caps"/>
      <w:spacing w:val="16"/>
      <w:sz w:val="17"/>
      <w:szCs w:val="17"/>
    </w:rPr>
  </w:style>
  <w:style w:type="paragraph" w:customStyle="1" w:styleId="ltrhead1bold">
    <w:name w:val="ltrhead1 bold"/>
    <w:basedOn w:val="Normal"/>
    <w:rsid w:val="0085138D"/>
    <w:rPr>
      <w:rFonts w:ascii="ScalaSans-Bold" w:hAnsi="ScalaSans-Bold"/>
      <w:sz w:val="17"/>
      <w:szCs w:val="17"/>
    </w:rPr>
  </w:style>
  <w:style w:type="paragraph" w:customStyle="1" w:styleId="ltrhead1">
    <w:name w:val="ltrhead1"/>
    <w:basedOn w:val="Normal"/>
    <w:rsid w:val="0085138D"/>
    <w:rPr>
      <w:rFonts w:ascii="ScalaSans" w:hAnsi="ScalaSans"/>
      <w:sz w:val="17"/>
      <w:szCs w:val="17"/>
    </w:rPr>
  </w:style>
  <w:style w:type="paragraph" w:customStyle="1" w:styleId="board1">
    <w:name w:val="board1"/>
    <w:basedOn w:val="Normal"/>
    <w:rsid w:val="0085138D"/>
    <w:rPr>
      <w:rFonts w:ascii="Scala" w:hAnsi="Scala"/>
      <w:color w:val="000000"/>
      <w:sz w:val="15"/>
      <w:szCs w:val="15"/>
    </w:rPr>
  </w:style>
  <w:style w:type="paragraph" w:customStyle="1" w:styleId="board1italics">
    <w:name w:val="board1 italics"/>
    <w:basedOn w:val="Normal"/>
    <w:rsid w:val="0085138D"/>
    <w:rPr>
      <w:rFonts w:ascii="Scala-Italic" w:hAnsi="Scala-Italic"/>
      <w:i/>
      <w:iCs/>
      <w:color w:val="000000"/>
      <w:sz w:val="15"/>
      <w:szCs w:val="15"/>
    </w:rPr>
  </w:style>
  <w:style w:type="paragraph" w:customStyle="1" w:styleId="board0">
    <w:name w:val="board0"/>
    <w:basedOn w:val="Normal"/>
    <w:rsid w:val="0085138D"/>
    <w:rPr>
      <w:rFonts w:ascii="ScalaSans-Caps" w:hAnsi="ScalaSans-Caps"/>
      <w:color w:val="000000"/>
      <w:sz w:val="15"/>
      <w:szCs w:val="15"/>
    </w:rPr>
  </w:style>
  <w:style w:type="paragraph" w:styleId="BalloonText">
    <w:name w:val="Balloon Text"/>
    <w:basedOn w:val="Normal"/>
    <w:semiHidden/>
    <w:rsid w:val="00A56407"/>
    <w:rPr>
      <w:rFonts w:ascii="Tahoma" w:hAnsi="Tahoma" w:cs="Tahoma"/>
      <w:sz w:val="16"/>
      <w:szCs w:val="16"/>
    </w:rPr>
  </w:style>
  <w:style w:type="paragraph" w:styleId="NoSpacing">
    <w:name w:val="No Spacing"/>
    <w:uiPriority w:val="1"/>
    <w:qFormat/>
    <w:rsid w:val="00D57603"/>
    <w:rPr>
      <w:rFonts w:asciiTheme="minorHAnsi" w:eastAsiaTheme="minorEastAsia" w:hAnsiTheme="minorHAnsi" w:cstheme="minorBidi"/>
      <w:sz w:val="22"/>
      <w:szCs w:val="22"/>
    </w:rPr>
  </w:style>
  <w:style w:type="paragraph" w:styleId="ListParagraph">
    <w:name w:val="List Paragraph"/>
    <w:basedOn w:val="Normal"/>
    <w:uiPriority w:val="34"/>
    <w:qFormat/>
    <w:rsid w:val="00D57603"/>
    <w:pPr>
      <w:spacing w:after="200" w:line="276" w:lineRule="auto"/>
      <w:ind w:left="720"/>
      <w:contextualSpacing/>
    </w:pPr>
    <w:rPr>
      <w:rFonts w:asciiTheme="minorHAnsi" w:eastAsiaTheme="minorEastAsia" w:hAnsiTheme="minorHAnsi" w:cstheme="minorBidi"/>
      <w:sz w:val="22"/>
      <w:szCs w:val="22"/>
    </w:rPr>
  </w:style>
  <w:style w:type="paragraph" w:styleId="EndnoteText">
    <w:name w:val="endnote text"/>
    <w:basedOn w:val="Normal"/>
    <w:link w:val="EndnoteTextChar"/>
    <w:uiPriority w:val="99"/>
    <w:rsid w:val="00083F29"/>
    <w:rPr>
      <w:sz w:val="20"/>
      <w:szCs w:val="20"/>
    </w:rPr>
  </w:style>
  <w:style w:type="character" w:customStyle="1" w:styleId="EndnoteTextChar">
    <w:name w:val="Endnote Text Char"/>
    <w:basedOn w:val="DefaultParagraphFont"/>
    <w:link w:val="EndnoteText"/>
    <w:uiPriority w:val="99"/>
    <w:rsid w:val="00083F29"/>
  </w:style>
  <w:style w:type="character" w:styleId="Hyperlink">
    <w:name w:val="Hyperlink"/>
    <w:basedOn w:val="DefaultParagraphFont"/>
    <w:uiPriority w:val="99"/>
    <w:unhideWhenUsed/>
    <w:rsid w:val="00083F29"/>
    <w:rPr>
      <w:color w:val="0000FF"/>
      <w:u w:val="single"/>
    </w:rPr>
  </w:style>
  <w:style w:type="paragraph" w:customStyle="1" w:styleId="Default">
    <w:name w:val="Default"/>
    <w:rsid w:val="00083F29"/>
    <w:pPr>
      <w:autoSpaceDE w:val="0"/>
      <w:autoSpaceDN w:val="0"/>
      <w:adjustRightInd w:val="0"/>
    </w:pPr>
    <w:rPr>
      <w:rFonts w:eastAsia="Calibri"/>
      <w:color w:val="000000"/>
      <w:sz w:val="24"/>
      <w:szCs w:val="24"/>
    </w:rPr>
  </w:style>
  <w:style w:type="character" w:styleId="EndnoteReference">
    <w:name w:val="endnote reference"/>
    <w:basedOn w:val="DefaultParagraphFont"/>
    <w:uiPriority w:val="99"/>
    <w:unhideWhenUsed/>
    <w:rsid w:val="00083F29"/>
    <w:rPr>
      <w:vertAlign w:val="superscript"/>
    </w:rPr>
  </w:style>
  <w:style w:type="character" w:customStyle="1" w:styleId="apple-converted-space">
    <w:name w:val="apple-converted-space"/>
    <w:basedOn w:val="DefaultParagraphFont"/>
    <w:rsid w:val="00083F29"/>
  </w:style>
  <w:style w:type="paragraph" w:styleId="FootnoteText">
    <w:name w:val="footnote text"/>
    <w:basedOn w:val="Normal"/>
    <w:link w:val="FootnoteTextChar"/>
    <w:rsid w:val="0069130B"/>
    <w:rPr>
      <w:sz w:val="20"/>
      <w:szCs w:val="20"/>
    </w:rPr>
  </w:style>
  <w:style w:type="character" w:customStyle="1" w:styleId="FootnoteTextChar">
    <w:name w:val="Footnote Text Char"/>
    <w:basedOn w:val="DefaultParagraphFont"/>
    <w:link w:val="FootnoteText"/>
    <w:rsid w:val="0069130B"/>
  </w:style>
  <w:style w:type="character" w:styleId="FootnoteReference">
    <w:name w:val="footnote reference"/>
    <w:basedOn w:val="DefaultParagraphFont"/>
    <w:uiPriority w:val="99"/>
    <w:rsid w:val="0069130B"/>
    <w:rPr>
      <w:vertAlign w:val="superscript"/>
    </w:rPr>
  </w:style>
  <w:style w:type="character" w:styleId="CommentReference">
    <w:name w:val="annotation reference"/>
    <w:basedOn w:val="DefaultParagraphFont"/>
    <w:rsid w:val="00C04A49"/>
    <w:rPr>
      <w:sz w:val="18"/>
      <w:szCs w:val="18"/>
    </w:rPr>
  </w:style>
  <w:style w:type="paragraph" w:styleId="CommentText">
    <w:name w:val="annotation text"/>
    <w:basedOn w:val="Normal"/>
    <w:link w:val="CommentTextChar"/>
    <w:rsid w:val="00C04A49"/>
  </w:style>
  <w:style w:type="character" w:customStyle="1" w:styleId="CommentTextChar">
    <w:name w:val="Comment Text Char"/>
    <w:basedOn w:val="DefaultParagraphFont"/>
    <w:link w:val="CommentText"/>
    <w:rsid w:val="00C04A49"/>
    <w:rPr>
      <w:sz w:val="24"/>
      <w:szCs w:val="24"/>
    </w:rPr>
  </w:style>
  <w:style w:type="paragraph" w:styleId="CommentSubject">
    <w:name w:val="annotation subject"/>
    <w:basedOn w:val="CommentText"/>
    <w:next w:val="CommentText"/>
    <w:link w:val="CommentSubjectChar"/>
    <w:rsid w:val="00C04A49"/>
    <w:rPr>
      <w:b/>
      <w:bCs/>
      <w:sz w:val="20"/>
      <w:szCs w:val="20"/>
    </w:rPr>
  </w:style>
  <w:style w:type="character" w:customStyle="1" w:styleId="CommentSubjectChar">
    <w:name w:val="Comment Subject Char"/>
    <w:basedOn w:val="CommentTextChar"/>
    <w:link w:val="CommentSubject"/>
    <w:rsid w:val="00C04A49"/>
    <w:rPr>
      <w:b/>
      <w:bCs/>
      <w:sz w:val="24"/>
      <w:szCs w:val="24"/>
    </w:rPr>
  </w:style>
  <w:style w:type="paragraph" w:customStyle="1" w:styleId="s2">
    <w:name w:val="s2"/>
    <w:basedOn w:val="Normal"/>
    <w:rsid w:val="00BA0551"/>
    <w:pPr>
      <w:spacing w:before="100" w:beforeAutospacing="1" w:after="100" w:afterAutospacing="1"/>
    </w:pPr>
    <w:rPr>
      <w:rFonts w:eastAsiaTheme="minorHAnsi"/>
    </w:rPr>
  </w:style>
  <w:style w:type="character" w:customStyle="1" w:styleId="s4">
    <w:name w:val="s4"/>
    <w:basedOn w:val="DefaultParagraphFont"/>
    <w:rsid w:val="00BA0551"/>
  </w:style>
  <w:style w:type="character" w:customStyle="1" w:styleId="s11">
    <w:name w:val="s11"/>
    <w:basedOn w:val="DefaultParagraphFont"/>
    <w:rsid w:val="00BA0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150975">
      <w:bodyDiv w:val="1"/>
      <w:marLeft w:val="0"/>
      <w:marRight w:val="0"/>
      <w:marTop w:val="0"/>
      <w:marBottom w:val="0"/>
      <w:divBdr>
        <w:top w:val="none" w:sz="0" w:space="0" w:color="auto"/>
        <w:left w:val="none" w:sz="0" w:space="0" w:color="auto"/>
        <w:bottom w:val="none" w:sz="0" w:space="0" w:color="auto"/>
        <w:right w:val="none" w:sz="0" w:space="0" w:color="auto"/>
      </w:divBdr>
    </w:div>
    <w:div w:id="375349540">
      <w:bodyDiv w:val="1"/>
      <w:marLeft w:val="0"/>
      <w:marRight w:val="0"/>
      <w:marTop w:val="0"/>
      <w:marBottom w:val="0"/>
      <w:divBdr>
        <w:top w:val="none" w:sz="0" w:space="0" w:color="auto"/>
        <w:left w:val="none" w:sz="0" w:space="0" w:color="auto"/>
        <w:bottom w:val="none" w:sz="0" w:space="0" w:color="auto"/>
        <w:right w:val="none" w:sz="0" w:space="0" w:color="auto"/>
      </w:divBdr>
    </w:div>
    <w:div w:id="528186240">
      <w:bodyDiv w:val="1"/>
      <w:marLeft w:val="0"/>
      <w:marRight w:val="0"/>
      <w:marTop w:val="0"/>
      <w:marBottom w:val="0"/>
      <w:divBdr>
        <w:top w:val="none" w:sz="0" w:space="0" w:color="auto"/>
        <w:left w:val="none" w:sz="0" w:space="0" w:color="auto"/>
        <w:bottom w:val="none" w:sz="0" w:space="0" w:color="auto"/>
        <w:right w:val="none" w:sz="0" w:space="0" w:color="auto"/>
      </w:divBdr>
      <w:divsChild>
        <w:div w:id="1514763977">
          <w:marLeft w:val="547"/>
          <w:marRight w:val="0"/>
          <w:marTop w:val="144"/>
          <w:marBottom w:val="0"/>
          <w:divBdr>
            <w:top w:val="none" w:sz="0" w:space="0" w:color="auto"/>
            <w:left w:val="none" w:sz="0" w:space="0" w:color="auto"/>
            <w:bottom w:val="none" w:sz="0" w:space="0" w:color="auto"/>
            <w:right w:val="none" w:sz="0" w:space="0" w:color="auto"/>
          </w:divBdr>
        </w:div>
        <w:div w:id="155733239">
          <w:marLeft w:val="547"/>
          <w:marRight w:val="0"/>
          <w:marTop w:val="144"/>
          <w:marBottom w:val="0"/>
          <w:divBdr>
            <w:top w:val="none" w:sz="0" w:space="0" w:color="auto"/>
            <w:left w:val="none" w:sz="0" w:space="0" w:color="auto"/>
            <w:bottom w:val="none" w:sz="0" w:space="0" w:color="auto"/>
            <w:right w:val="none" w:sz="0" w:space="0" w:color="auto"/>
          </w:divBdr>
        </w:div>
        <w:div w:id="490214463">
          <w:marLeft w:val="547"/>
          <w:marRight w:val="0"/>
          <w:marTop w:val="144"/>
          <w:marBottom w:val="0"/>
          <w:divBdr>
            <w:top w:val="none" w:sz="0" w:space="0" w:color="auto"/>
            <w:left w:val="none" w:sz="0" w:space="0" w:color="auto"/>
            <w:bottom w:val="none" w:sz="0" w:space="0" w:color="auto"/>
            <w:right w:val="none" w:sz="0" w:space="0" w:color="auto"/>
          </w:divBdr>
        </w:div>
        <w:div w:id="464323921">
          <w:marLeft w:val="547"/>
          <w:marRight w:val="0"/>
          <w:marTop w:val="144"/>
          <w:marBottom w:val="0"/>
          <w:divBdr>
            <w:top w:val="none" w:sz="0" w:space="0" w:color="auto"/>
            <w:left w:val="none" w:sz="0" w:space="0" w:color="auto"/>
            <w:bottom w:val="none" w:sz="0" w:space="0" w:color="auto"/>
            <w:right w:val="none" w:sz="0" w:space="0" w:color="auto"/>
          </w:divBdr>
        </w:div>
        <w:div w:id="168906955">
          <w:marLeft w:val="547"/>
          <w:marRight w:val="0"/>
          <w:marTop w:val="144"/>
          <w:marBottom w:val="0"/>
          <w:divBdr>
            <w:top w:val="none" w:sz="0" w:space="0" w:color="auto"/>
            <w:left w:val="none" w:sz="0" w:space="0" w:color="auto"/>
            <w:bottom w:val="none" w:sz="0" w:space="0" w:color="auto"/>
            <w:right w:val="none" w:sz="0" w:space="0" w:color="auto"/>
          </w:divBdr>
        </w:div>
      </w:divsChild>
    </w:div>
    <w:div w:id="610087636">
      <w:bodyDiv w:val="1"/>
      <w:marLeft w:val="0"/>
      <w:marRight w:val="0"/>
      <w:marTop w:val="0"/>
      <w:marBottom w:val="0"/>
      <w:divBdr>
        <w:top w:val="none" w:sz="0" w:space="0" w:color="auto"/>
        <w:left w:val="none" w:sz="0" w:space="0" w:color="auto"/>
        <w:bottom w:val="none" w:sz="0" w:space="0" w:color="auto"/>
        <w:right w:val="none" w:sz="0" w:space="0" w:color="auto"/>
      </w:divBdr>
    </w:div>
    <w:div w:id="1622882389">
      <w:bodyDiv w:val="1"/>
      <w:marLeft w:val="0"/>
      <w:marRight w:val="0"/>
      <w:marTop w:val="0"/>
      <w:marBottom w:val="0"/>
      <w:divBdr>
        <w:top w:val="none" w:sz="0" w:space="0" w:color="auto"/>
        <w:left w:val="none" w:sz="0" w:space="0" w:color="auto"/>
        <w:bottom w:val="none" w:sz="0" w:space="0" w:color="auto"/>
        <w:right w:val="none" w:sz="0" w:space="0" w:color="auto"/>
      </w:divBdr>
    </w:div>
    <w:div w:id="1695417875">
      <w:bodyDiv w:val="1"/>
      <w:marLeft w:val="0"/>
      <w:marRight w:val="0"/>
      <w:marTop w:val="0"/>
      <w:marBottom w:val="0"/>
      <w:divBdr>
        <w:top w:val="none" w:sz="0" w:space="0" w:color="auto"/>
        <w:left w:val="none" w:sz="0" w:space="0" w:color="auto"/>
        <w:bottom w:val="none" w:sz="0" w:space="0" w:color="auto"/>
        <w:right w:val="none" w:sz="0" w:space="0" w:color="auto"/>
      </w:divBdr>
    </w:div>
    <w:div w:id="199394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cahill@fenwayhealth.org"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books.nap.edu/openbook.php?record_id=18260" TargetMode="External"/><Relationship Id="rId2" Type="http://schemas.openxmlformats.org/officeDocument/2006/relationships/hyperlink" Target="http://www.jointcommission.org/assets/1/18/LGBTFieldGuide_WEB_LINKED_VER.pdf" TargetMode="External"/><Relationship Id="rId1" Type="http://schemas.openxmlformats.org/officeDocument/2006/relationships/hyperlink" Target="http://www.jointcommission.org/assets/1/18/LGBTFieldGuide_WEB_LINKED_VER.pdf" TargetMode="External"/><Relationship Id="rId4" Type="http://schemas.openxmlformats.org/officeDocument/2006/relationships/hyperlink" Target="http://thefenwayinstitute.org/wp-content/uploads/TFI-CAP-150+-Orgs-Public-Comment-re-MU-Stage-2-04.28.14.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iveiros\Desktop\Stationery%20Templates\The%20Fenway%20Institute%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814CB-4007-49B9-B89B-6097E5904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Fenway Institute Letterhead</Template>
  <TotalTime>0</TotalTime>
  <Pages>5</Pages>
  <Words>1451</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Fenway Community Health Letterhead</vt:lpstr>
    </vt:vector>
  </TitlesOfParts>
  <Company>Active Lightning</Company>
  <LinksUpToDate>false</LinksUpToDate>
  <CharactersWithSpaces>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Fenway Community Health Letterhead</dc:title>
  <dc:creator>Christopher A. Viveiros</dc:creator>
  <cp:lastModifiedBy>Sean Cahill</cp:lastModifiedBy>
  <cp:revision>2</cp:revision>
  <cp:lastPrinted>2015-05-12T21:35:00Z</cp:lastPrinted>
  <dcterms:created xsi:type="dcterms:W3CDTF">2015-05-13T17:34:00Z</dcterms:created>
  <dcterms:modified xsi:type="dcterms:W3CDTF">2015-05-13T17:34:00Z</dcterms:modified>
</cp:coreProperties>
</file>