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2F" w:rsidRPr="0091462F" w:rsidRDefault="0091462F" w:rsidP="0091462F">
      <w:pPr>
        <w:spacing w:after="0" w:line="240" w:lineRule="auto"/>
        <w:jc w:val="center"/>
        <w:rPr>
          <w:rFonts w:ascii="Calibri" w:eastAsia="Times New Roman" w:hAnsi="Calibri" w:cs="Times New Roman"/>
          <w:b/>
          <w:bCs/>
          <w:color w:val="002060"/>
          <w:sz w:val="40"/>
          <w:szCs w:val="40"/>
        </w:rPr>
      </w:pPr>
      <w:r w:rsidRPr="0091462F">
        <w:rPr>
          <w:rFonts w:ascii="Calibri" w:eastAsia="Times New Roman" w:hAnsi="Calibri" w:cs="Times New Roman"/>
          <w:b/>
          <w:bCs/>
          <w:color w:val="002060"/>
          <w:sz w:val="40"/>
          <w:szCs w:val="40"/>
        </w:rPr>
        <w:t>Save Energy, Save Money, Save the Environment...</w:t>
      </w:r>
    </w:p>
    <w:p w:rsidR="0091462F" w:rsidRDefault="0091462F" w:rsidP="0091462F">
      <w:pPr>
        <w:spacing w:after="0" w:line="240" w:lineRule="auto"/>
        <w:jc w:val="both"/>
        <w:rPr>
          <w:rFonts w:ascii="Calibri" w:eastAsia="Times New Roman" w:hAnsi="Calibri" w:cs="Times New Roman"/>
          <w:color w:val="000C42"/>
          <w:sz w:val="24"/>
          <w:szCs w:val="24"/>
        </w:rPr>
      </w:pPr>
    </w:p>
    <w:p w:rsidR="0091462F" w:rsidRPr="0091462F" w:rsidRDefault="0091462F" w:rsidP="00055D6E">
      <w:pPr>
        <w:spacing w:after="0" w:line="240" w:lineRule="auto"/>
        <w:jc w:val="both"/>
        <w:rPr>
          <w:rFonts w:ascii="Calibri" w:eastAsia="Times New Roman" w:hAnsi="Calibri" w:cs="Times New Roman"/>
          <w:color w:val="002060"/>
          <w:sz w:val="24"/>
          <w:szCs w:val="24"/>
        </w:rPr>
      </w:pPr>
      <w:r w:rsidRPr="0091462F">
        <w:rPr>
          <w:rFonts w:ascii="Calibri" w:eastAsia="Times New Roman" w:hAnsi="Calibri" w:cs="Times New Roman"/>
          <w:color w:val="002060"/>
          <w:sz w:val="24"/>
          <w:szCs w:val="24"/>
        </w:rPr>
        <w:t>Caribbean LED Lighting (CLL) is on a mission to be the primary supplier of high quality, economical Light Emitting Diode (LED) lighting solutions to tropical regions around the world by sourcing and creating innovative renewable products specifically tailored to their climatic needs. CLL commits itself to providing customers with cost effective lighting solutions that improve the environment, while reducing both their operating costs and carbon footprint.</w:t>
      </w:r>
    </w:p>
    <w:p w:rsidR="00804A8E" w:rsidRDefault="00804A8E" w:rsidP="00055D6E">
      <w:pPr>
        <w:spacing w:after="0" w:line="240" w:lineRule="auto"/>
        <w:jc w:val="both"/>
        <w:rPr>
          <w:color w:val="002060"/>
          <w:sz w:val="24"/>
          <w:szCs w:val="24"/>
        </w:rPr>
      </w:pPr>
    </w:p>
    <w:p w:rsidR="0091462F" w:rsidRDefault="0091462F" w:rsidP="00055D6E">
      <w:pPr>
        <w:spacing w:after="0" w:line="240" w:lineRule="auto"/>
        <w:jc w:val="both"/>
        <w:rPr>
          <w:color w:val="002060"/>
          <w:sz w:val="24"/>
          <w:szCs w:val="24"/>
        </w:rPr>
      </w:pPr>
      <w:r w:rsidRPr="00804A8E">
        <w:rPr>
          <w:color w:val="002060"/>
          <w:sz w:val="24"/>
          <w:szCs w:val="24"/>
        </w:rPr>
        <w:t xml:space="preserve">In order to address energy demands globally, CLL identified the opportunity to develop and market </w:t>
      </w:r>
      <w:r w:rsidR="00804A8E" w:rsidRPr="00804A8E">
        <w:rPr>
          <w:color w:val="002060"/>
          <w:sz w:val="24"/>
          <w:szCs w:val="24"/>
        </w:rPr>
        <w:t xml:space="preserve">a </w:t>
      </w:r>
      <w:r w:rsidR="00055D6E" w:rsidRPr="00804A8E">
        <w:rPr>
          <w:color w:val="002060"/>
          <w:sz w:val="24"/>
          <w:szCs w:val="24"/>
        </w:rPr>
        <w:t>novel</w:t>
      </w:r>
      <w:r w:rsidR="00804A8E" w:rsidRPr="00804A8E">
        <w:rPr>
          <w:color w:val="002060"/>
          <w:sz w:val="24"/>
          <w:szCs w:val="24"/>
        </w:rPr>
        <w:t xml:space="preserve"> renewable energy product branded “WINSUN” to meet the demands of persons without electricity but </w:t>
      </w:r>
      <w:r w:rsidR="00804A8E">
        <w:rPr>
          <w:color w:val="002060"/>
          <w:sz w:val="24"/>
          <w:szCs w:val="24"/>
        </w:rPr>
        <w:t xml:space="preserve">to </w:t>
      </w:r>
      <w:r w:rsidR="00804A8E" w:rsidRPr="00804A8E">
        <w:rPr>
          <w:color w:val="002060"/>
          <w:sz w:val="24"/>
          <w:szCs w:val="24"/>
        </w:rPr>
        <w:t xml:space="preserve">also </w:t>
      </w:r>
      <w:r w:rsidR="00804A8E">
        <w:rPr>
          <w:color w:val="002060"/>
          <w:sz w:val="24"/>
          <w:szCs w:val="24"/>
        </w:rPr>
        <w:t xml:space="preserve">offer a cost efficient </w:t>
      </w:r>
      <w:r w:rsidR="00804A8E" w:rsidRPr="00804A8E">
        <w:rPr>
          <w:color w:val="002060"/>
          <w:sz w:val="24"/>
          <w:szCs w:val="24"/>
        </w:rPr>
        <w:t>alternative to customers with access to conventional electricity.</w:t>
      </w:r>
    </w:p>
    <w:p w:rsidR="008B7EC5" w:rsidRDefault="008B7EC5" w:rsidP="00055D6E">
      <w:pPr>
        <w:spacing w:after="0" w:line="240" w:lineRule="auto"/>
        <w:jc w:val="both"/>
        <w:rPr>
          <w:color w:val="002060"/>
          <w:sz w:val="24"/>
          <w:szCs w:val="24"/>
        </w:rPr>
      </w:pPr>
    </w:p>
    <w:p w:rsidR="00770FD0" w:rsidRPr="008B7EC5" w:rsidRDefault="008B7EC5" w:rsidP="00055D6E">
      <w:pPr>
        <w:spacing w:after="0" w:line="240" w:lineRule="auto"/>
        <w:jc w:val="both"/>
        <w:rPr>
          <w:color w:val="002060"/>
          <w:sz w:val="24"/>
          <w:szCs w:val="24"/>
        </w:rPr>
      </w:pPr>
      <w:r>
        <w:rPr>
          <w:color w:val="002060"/>
          <w:sz w:val="24"/>
          <w:szCs w:val="24"/>
        </w:rPr>
        <w:t>Compete Caribbean is funding the</w:t>
      </w:r>
      <w:r w:rsidR="00804A8E">
        <w:rPr>
          <w:color w:val="002060"/>
          <w:sz w:val="24"/>
          <w:szCs w:val="24"/>
        </w:rPr>
        <w:t xml:space="preserve"> research and development</w:t>
      </w:r>
      <w:r>
        <w:rPr>
          <w:color w:val="002060"/>
          <w:sz w:val="24"/>
          <w:szCs w:val="24"/>
        </w:rPr>
        <w:t xml:space="preserve"> (R&amp;D) behind </w:t>
      </w:r>
      <w:r w:rsidR="005A74C5" w:rsidRPr="008B7EC5">
        <w:rPr>
          <w:color w:val="002060"/>
          <w:sz w:val="24"/>
          <w:szCs w:val="24"/>
        </w:rPr>
        <w:t xml:space="preserve">a plug and </w:t>
      </w:r>
      <w:proofErr w:type="gramStart"/>
      <w:r w:rsidR="005A74C5" w:rsidRPr="008B7EC5">
        <w:rPr>
          <w:color w:val="002060"/>
          <w:sz w:val="24"/>
          <w:szCs w:val="24"/>
        </w:rPr>
        <w:t>play</w:t>
      </w:r>
      <w:proofErr w:type="gramEnd"/>
      <w:r w:rsidR="005A74C5" w:rsidRPr="008B7EC5">
        <w:rPr>
          <w:color w:val="002060"/>
          <w:sz w:val="24"/>
          <w:szCs w:val="24"/>
        </w:rPr>
        <w:t xml:space="preserve"> renewable energy solution that:</w:t>
      </w:r>
    </w:p>
    <w:p w:rsidR="00770FD0" w:rsidRPr="008B7EC5" w:rsidRDefault="005A74C5" w:rsidP="00055D6E">
      <w:pPr>
        <w:pStyle w:val="ListParagraph"/>
        <w:numPr>
          <w:ilvl w:val="0"/>
          <w:numId w:val="2"/>
        </w:numPr>
        <w:spacing w:after="0" w:line="240" w:lineRule="auto"/>
        <w:jc w:val="both"/>
        <w:rPr>
          <w:color w:val="002060"/>
          <w:sz w:val="24"/>
          <w:szCs w:val="24"/>
        </w:rPr>
      </w:pPr>
      <w:r w:rsidRPr="008B7EC5">
        <w:rPr>
          <w:color w:val="002060"/>
          <w:sz w:val="24"/>
          <w:szCs w:val="24"/>
        </w:rPr>
        <w:t xml:space="preserve">Allows consumers to match power generation to power needs in an individual manner, </w:t>
      </w:r>
    </w:p>
    <w:p w:rsidR="00770FD0" w:rsidRPr="008B7EC5" w:rsidRDefault="005A74C5" w:rsidP="00055D6E">
      <w:pPr>
        <w:pStyle w:val="ListParagraph"/>
        <w:numPr>
          <w:ilvl w:val="0"/>
          <w:numId w:val="2"/>
        </w:numPr>
        <w:spacing w:after="0" w:line="240" w:lineRule="auto"/>
        <w:jc w:val="both"/>
        <w:rPr>
          <w:color w:val="002060"/>
          <w:sz w:val="24"/>
          <w:szCs w:val="24"/>
        </w:rPr>
      </w:pPr>
      <w:r w:rsidRPr="008B7EC5">
        <w:rPr>
          <w:color w:val="002060"/>
          <w:sz w:val="24"/>
          <w:szCs w:val="24"/>
        </w:rPr>
        <w:t>Improve</w:t>
      </w:r>
      <w:r w:rsidR="008B7EC5">
        <w:rPr>
          <w:color w:val="002060"/>
          <w:sz w:val="24"/>
          <w:szCs w:val="24"/>
        </w:rPr>
        <w:t>s</w:t>
      </w:r>
      <w:r w:rsidRPr="008B7EC5">
        <w:rPr>
          <w:color w:val="002060"/>
          <w:sz w:val="24"/>
          <w:szCs w:val="24"/>
        </w:rPr>
        <w:t xml:space="preserve"> access to energy in remote areas where electricity generation is not otherwise available</w:t>
      </w:r>
      <w:r w:rsidR="008B7EC5">
        <w:rPr>
          <w:color w:val="002060"/>
          <w:sz w:val="24"/>
          <w:szCs w:val="24"/>
        </w:rPr>
        <w:t>,</w:t>
      </w:r>
    </w:p>
    <w:p w:rsidR="00770FD0" w:rsidRPr="008B7EC5" w:rsidRDefault="005A74C5" w:rsidP="00055D6E">
      <w:pPr>
        <w:pStyle w:val="ListParagraph"/>
        <w:numPr>
          <w:ilvl w:val="0"/>
          <w:numId w:val="2"/>
        </w:numPr>
        <w:spacing w:after="0" w:line="240" w:lineRule="auto"/>
        <w:jc w:val="both"/>
        <w:rPr>
          <w:color w:val="002060"/>
          <w:sz w:val="24"/>
          <w:szCs w:val="24"/>
        </w:rPr>
      </w:pPr>
      <w:r w:rsidRPr="008B7EC5">
        <w:rPr>
          <w:color w:val="002060"/>
          <w:sz w:val="24"/>
          <w:szCs w:val="24"/>
        </w:rPr>
        <w:t>Consider</w:t>
      </w:r>
      <w:r w:rsidR="008B7EC5">
        <w:rPr>
          <w:color w:val="002060"/>
          <w:sz w:val="24"/>
          <w:szCs w:val="24"/>
        </w:rPr>
        <w:t>s</w:t>
      </w:r>
      <w:r w:rsidRPr="008B7EC5">
        <w:rPr>
          <w:color w:val="002060"/>
          <w:sz w:val="24"/>
          <w:szCs w:val="24"/>
        </w:rPr>
        <w:t xml:space="preserve"> current barriers to entry into the RE market relat</w:t>
      </w:r>
      <w:r w:rsidR="008B7EC5">
        <w:rPr>
          <w:color w:val="002060"/>
          <w:sz w:val="24"/>
          <w:szCs w:val="24"/>
        </w:rPr>
        <w:t>ing to the existing technology,</w:t>
      </w:r>
    </w:p>
    <w:p w:rsidR="00770FD0" w:rsidRPr="008B7EC5" w:rsidRDefault="005A74C5" w:rsidP="00055D6E">
      <w:pPr>
        <w:pStyle w:val="ListParagraph"/>
        <w:numPr>
          <w:ilvl w:val="0"/>
          <w:numId w:val="2"/>
        </w:numPr>
        <w:spacing w:after="0" w:line="240" w:lineRule="auto"/>
        <w:jc w:val="both"/>
        <w:rPr>
          <w:color w:val="002060"/>
          <w:sz w:val="24"/>
          <w:szCs w:val="24"/>
        </w:rPr>
      </w:pPr>
      <w:r w:rsidRPr="008B7EC5">
        <w:rPr>
          <w:color w:val="002060"/>
          <w:sz w:val="24"/>
          <w:szCs w:val="24"/>
        </w:rPr>
        <w:t>Utilize</w:t>
      </w:r>
      <w:r w:rsidR="008B7EC5">
        <w:rPr>
          <w:color w:val="002060"/>
          <w:sz w:val="24"/>
          <w:szCs w:val="24"/>
        </w:rPr>
        <w:t>s</w:t>
      </w:r>
      <w:r w:rsidRPr="008B7EC5">
        <w:rPr>
          <w:color w:val="002060"/>
          <w:sz w:val="24"/>
          <w:szCs w:val="24"/>
        </w:rPr>
        <w:t xml:space="preserve"> modular PV and/or wind generation, battery storage, regulator and inverter options to achieve desired</w:t>
      </w:r>
      <w:r w:rsidR="008B7EC5">
        <w:rPr>
          <w:color w:val="002060"/>
          <w:sz w:val="24"/>
          <w:szCs w:val="24"/>
        </w:rPr>
        <w:t xml:space="preserve"> energy and power requirements; and, </w:t>
      </w:r>
    </w:p>
    <w:p w:rsidR="00770FD0" w:rsidRDefault="00055D6E" w:rsidP="00055D6E">
      <w:pPr>
        <w:pStyle w:val="ListParagraph"/>
        <w:numPr>
          <w:ilvl w:val="0"/>
          <w:numId w:val="2"/>
        </w:numPr>
        <w:spacing w:after="0" w:line="240" w:lineRule="auto"/>
        <w:jc w:val="both"/>
        <w:rPr>
          <w:color w:val="002060"/>
          <w:sz w:val="24"/>
          <w:szCs w:val="24"/>
        </w:rPr>
      </w:pPr>
      <w:r>
        <w:rPr>
          <w:color w:val="002060"/>
          <w:sz w:val="24"/>
          <w:szCs w:val="24"/>
        </w:rPr>
        <w:t xml:space="preserve">Is easy to deploy </w:t>
      </w:r>
      <w:r w:rsidR="005A74C5" w:rsidRPr="008B7EC5">
        <w:rPr>
          <w:color w:val="002060"/>
          <w:sz w:val="24"/>
          <w:szCs w:val="24"/>
        </w:rPr>
        <w:t xml:space="preserve">at an affordable price. </w:t>
      </w:r>
    </w:p>
    <w:p w:rsidR="008B7EC5" w:rsidRDefault="008B7EC5" w:rsidP="00055D6E">
      <w:pPr>
        <w:spacing w:after="0" w:line="240" w:lineRule="auto"/>
        <w:jc w:val="both"/>
        <w:rPr>
          <w:color w:val="002060"/>
          <w:sz w:val="24"/>
          <w:szCs w:val="24"/>
        </w:rPr>
      </w:pPr>
    </w:p>
    <w:p w:rsidR="008B7EC5" w:rsidRDefault="008B7EC5" w:rsidP="00055D6E">
      <w:pPr>
        <w:spacing w:after="0" w:line="240" w:lineRule="auto"/>
        <w:jc w:val="both"/>
        <w:rPr>
          <w:color w:val="002060"/>
          <w:sz w:val="24"/>
          <w:szCs w:val="24"/>
        </w:rPr>
      </w:pPr>
      <w:r>
        <w:rPr>
          <w:color w:val="002060"/>
          <w:sz w:val="24"/>
          <w:szCs w:val="24"/>
        </w:rPr>
        <w:t xml:space="preserve">As part of the </w:t>
      </w:r>
      <w:r w:rsidR="00055D6E">
        <w:rPr>
          <w:color w:val="002060"/>
          <w:sz w:val="24"/>
          <w:szCs w:val="24"/>
        </w:rPr>
        <w:t xml:space="preserve">Compete Caribbean funded </w:t>
      </w:r>
      <w:r>
        <w:rPr>
          <w:color w:val="002060"/>
          <w:sz w:val="24"/>
          <w:szCs w:val="24"/>
        </w:rPr>
        <w:t>R&amp;D progression, Founder and Owner of CLL, Jim Reid recently visited China to research t</w:t>
      </w:r>
      <w:r w:rsidRPr="008B7EC5">
        <w:rPr>
          <w:color w:val="002060"/>
          <w:sz w:val="24"/>
          <w:szCs w:val="24"/>
        </w:rPr>
        <w:t xml:space="preserve">echnologies that would meet the requirements of </w:t>
      </w:r>
      <w:r>
        <w:rPr>
          <w:color w:val="002060"/>
          <w:sz w:val="24"/>
          <w:szCs w:val="24"/>
        </w:rPr>
        <w:t>“</w:t>
      </w:r>
      <w:r w:rsidRPr="008B7EC5">
        <w:rPr>
          <w:color w:val="002060"/>
          <w:sz w:val="24"/>
          <w:szCs w:val="24"/>
        </w:rPr>
        <w:t>WINSUN</w:t>
      </w:r>
      <w:r>
        <w:rPr>
          <w:color w:val="002060"/>
          <w:sz w:val="24"/>
          <w:szCs w:val="24"/>
        </w:rPr>
        <w:t>”</w:t>
      </w:r>
      <w:r w:rsidRPr="008B7EC5">
        <w:rPr>
          <w:color w:val="002060"/>
          <w:sz w:val="24"/>
          <w:szCs w:val="24"/>
        </w:rPr>
        <w:t xml:space="preserve"> and vend</w:t>
      </w:r>
      <w:r>
        <w:rPr>
          <w:color w:val="002060"/>
          <w:sz w:val="24"/>
          <w:szCs w:val="24"/>
        </w:rPr>
        <w:t>ors</w:t>
      </w:r>
      <w:r w:rsidR="00055D6E">
        <w:rPr>
          <w:color w:val="002060"/>
          <w:sz w:val="24"/>
          <w:szCs w:val="24"/>
        </w:rPr>
        <w:t xml:space="preserve">; </w:t>
      </w:r>
      <w:r w:rsidR="005A74C5">
        <w:rPr>
          <w:color w:val="002060"/>
          <w:sz w:val="24"/>
          <w:szCs w:val="24"/>
        </w:rPr>
        <w:t xml:space="preserve">while </w:t>
      </w:r>
      <w:r w:rsidR="00055D6E">
        <w:rPr>
          <w:color w:val="002060"/>
          <w:sz w:val="24"/>
          <w:szCs w:val="24"/>
        </w:rPr>
        <w:t xml:space="preserve">Chief Operations Officer David Tindale also </w:t>
      </w:r>
      <w:r w:rsidR="00055D6E" w:rsidRPr="00055D6E">
        <w:rPr>
          <w:color w:val="002060"/>
          <w:sz w:val="24"/>
          <w:szCs w:val="24"/>
        </w:rPr>
        <w:t>attend</w:t>
      </w:r>
      <w:r w:rsidR="00055D6E">
        <w:rPr>
          <w:color w:val="002060"/>
          <w:sz w:val="24"/>
          <w:szCs w:val="24"/>
        </w:rPr>
        <w:t>ed</w:t>
      </w:r>
      <w:r w:rsidR="00055D6E" w:rsidRPr="00055D6E">
        <w:rPr>
          <w:color w:val="002060"/>
          <w:sz w:val="24"/>
          <w:szCs w:val="24"/>
        </w:rPr>
        <w:t xml:space="preserve"> a renewable energy trade show </w:t>
      </w:r>
      <w:r w:rsidR="00055D6E">
        <w:rPr>
          <w:color w:val="002060"/>
          <w:sz w:val="24"/>
          <w:szCs w:val="24"/>
        </w:rPr>
        <w:t xml:space="preserve">California during </w:t>
      </w:r>
      <w:r w:rsidR="00055D6E" w:rsidRPr="00055D6E">
        <w:rPr>
          <w:color w:val="002060"/>
          <w:sz w:val="24"/>
          <w:szCs w:val="24"/>
        </w:rPr>
        <w:t xml:space="preserve">September </w:t>
      </w:r>
      <w:r w:rsidR="00055D6E">
        <w:rPr>
          <w:color w:val="002060"/>
          <w:sz w:val="24"/>
          <w:szCs w:val="24"/>
        </w:rPr>
        <w:t>2015 which focused on the r</w:t>
      </w:r>
      <w:r w:rsidR="00055D6E" w:rsidRPr="00055D6E">
        <w:rPr>
          <w:color w:val="002060"/>
          <w:sz w:val="24"/>
          <w:szCs w:val="24"/>
        </w:rPr>
        <w:t xml:space="preserve">esearch </w:t>
      </w:r>
      <w:r w:rsidR="00055D6E">
        <w:rPr>
          <w:color w:val="002060"/>
          <w:sz w:val="24"/>
          <w:szCs w:val="24"/>
        </w:rPr>
        <w:t xml:space="preserve">of </w:t>
      </w:r>
      <w:r w:rsidR="00055D6E" w:rsidRPr="00055D6E">
        <w:rPr>
          <w:color w:val="002060"/>
          <w:sz w:val="24"/>
          <w:szCs w:val="24"/>
        </w:rPr>
        <w:t xml:space="preserve">new technologies in the industry, </w:t>
      </w:r>
      <w:r w:rsidR="00055D6E">
        <w:rPr>
          <w:color w:val="002060"/>
          <w:sz w:val="24"/>
          <w:szCs w:val="24"/>
        </w:rPr>
        <w:t xml:space="preserve">components and vendors. Additionally, a team of consultants were contracted to </w:t>
      </w:r>
      <w:r w:rsidR="00055D6E" w:rsidRPr="00055D6E">
        <w:rPr>
          <w:color w:val="002060"/>
          <w:sz w:val="24"/>
          <w:szCs w:val="24"/>
        </w:rPr>
        <w:t>establish conceptual design requirements.</w:t>
      </w:r>
    </w:p>
    <w:p w:rsidR="00055D6E" w:rsidRDefault="00055D6E" w:rsidP="00055D6E">
      <w:pPr>
        <w:spacing w:after="0" w:line="240" w:lineRule="auto"/>
        <w:jc w:val="both"/>
        <w:rPr>
          <w:color w:val="002060"/>
          <w:sz w:val="24"/>
          <w:szCs w:val="24"/>
        </w:rPr>
      </w:pPr>
    </w:p>
    <w:p w:rsidR="00055D6E" w:rsidRDefault="00055D6E" w:rsidP="00055D6E">
      <w:pPr>
        <w:spacing w:after="0" w:line="240" w:lineRule="auto"/>
        <w:jc w:val="both"/>
        <w:rPr>
          <w:color w:val="002060"/>
          <w:sz w:val="24"/>
          <w:szCs w:val="24"/>
        </w:rPr>
      </w:pPr>
      <w:r>
        <w:rPr>
          <w:color w:val="002060"/>
          <w:sz w:val="24"/>
          <w:szCs w:val="24"/>
        </w:rPr>
        <w:t xml:space="preserve">CLL intends that “WINSUN” will deliver </w:t>
      </w:r>
      <w:r w:rsidRPr="00055D6E">
        <w:rPr>
          <w:color w:val="002060"/>
          <w:sz w:val="24"/>
          <w:szCs w:val="24"/>
        </w:rPr>
        <w:t>an off grid renewable energy solution</w:t>
      </w:r>
      <w:r>
        <w:rPr>
          <w:color w:val="002060"/>
          <w:sz w:val="24"/>
          <w:szCs w:val="24"/>
        </w:rPr>
        <w:t xml:space="preserve"> </w:t>
      </w:r>
      <w:r w:rsidRPr="00055D6E">
        <w:rPr>
          <w:color w:val="002060"/>
          <w:sz w:val="24"/>
          <w:szCs w:val="24"/>
        </w:rPr>
        <w:t>to local points of low demand that have no need for grid connections.</w:t>
      </w:r>
      <w:r>
        <w:rPr>
          <w:color w:val="002060"/>
          <w:sz w:val="24"/>
          <w:szCs w:val="24"/>
        </w:rPr>
        <w:t xml:space="preserve"> </w:t>
      </w:r>
      <w:r w:rsidR="005A74C5">
        <w:rPr>
          <w:color w:val="002060"/>
          <w:sz w:val="24"/>
          <w:szCs w:val="24"/>
        </w:rPr>
        <w:t>So far research and development has been successful and launch date is expected to be July 2016.</w:t>
      </w:r>
    </w:p>
    <w:p w:rsidR="00367556" w:rsidRDefault="00367556" w:rsidP="00055D6E">
      <w:pPr>
        <w:spacing w:after="0" w:line="240" w:lineRule="auto"/>
        <w:jc w:val="both"/>
        <w:rPr>
          <w:color w:val="002060"/>
          <w:sz w:val="24"/>
          <w:szCs w:val="24"/>
        </w:rPr>
      </w:pPr>
    </w:p>
    <w:p w:rsidR="00367556" w:rsidRPr="00055D6E" w:rsidRDefault="00367556" w:rsidP="00055D6E">
      <w:pPr>
        <w:spacing w:after="0" w:line="240" w:lineRule="auto"/>
        <w:jc w:val="both"/>
        <w:rPr>
          <w:color w:val="002060"/>
          <w:sz w:val="24"/>
          <w:szCs w:val="24"/>
        </w:rPr>
      </w:pPr>
      <w:hyperlink r:id="rId6" w:history="1">
        <w:r w:rsidRPr="00D46490">
          <w:rPr>
            <w:rStyle w:val="Hyperlink"/>
            <w:sz w:val="24"/>
            <w:szCs w:val="24"/>
          </w:rPr>
          <w:t>http://competecaribbean.org/wp-content/uploads/2015/12/CC-Project-Highlights-Winsun-Barbados.pdf</w:t>
        </w:r>
      </w:hyperlink>
      <w:r>
        <w:rPr>
          <w:color w:val="002060"/>
          <w:sz w:val="24"/>
          <w:szCs w:val="24"/>
        </w:rPr>
        <w:t xml:space="preserve"> </w:t>
      </w:r>
      <w:bookmarkStart w:id="0" w:name="_GoBack"/>
      <w:bookmarkEnd w:id="0"/>
    </w:p>
    <w:p w:rsidR="00804A8E" w:rsidRPr="00804A8E" w:rsidRDefault="00804A8E" w:rsidP="00055D6E">
      <w:pPr>
        <w:spacing w:after="0" w:line="240" w:lineRule="auto"/>
        <w:jc w:val="both"/>
        <w:rPr>
          <w:color w:val="002060"/>
          <w:sz w:val="24"/>
          <w:szCs w:val="24"/>
        </w:rPr>
      </w:pPr>
    </w:p>
    <w:sectPr w:rsidR="00804A8E" w:rsidRPr="0080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5D77"/>
    <w:multiLevelType w:val="hybridMultilevel"/>
    <w:tmpl w:val="ED128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47A3329"/>
    <w:multiLevelType w:val="hybridMultilevel"/>
    <w:tmpl w:val="B2AE7034"/>
    <w:lvl w:ilvl="0" w:tplc="F188ACA8">
      <w:start w:val="1"/>
      <w:numFmt w:val="bullet"/>
      <w:lvlText w:val="•"/>
      <w:lvlJc w:val="left"/>
      <w:pPr>
        <w:tabs>
          <w:tab w:val="num" w:pos="720"/>
        </w:tabs>
        <w:ind w:left="720" w:hanging="360"/>
      </w:pPr>
      <w:rPr>
        <w:rFonts w:ascii="Arial" w:hAnsi="Arial" w:hint="default"/>
      </w:rPr>
    </w:lvl>
    <w:lvl w:ilvl="1" w:tplc="5A1684C2">
      <w:start w:val="782"/>
      <w:numFmt w:val="bullet"/>
      <w:lvlText w:val="–"/>
      <w:lvlJc w:val="left"/>
      <w:pPr>
        <w:tabs>
          <w:tab w:val="num" w:pos="1440"/>
        </w:tabs>
        <w:ind w:left="1440" w:hanging="360"/>
      </w:pPr>
      <w:rPr>
        <w:rFonts w:ascii="Arial" w:hAnsi="Arial" w:hint="default"/>
      </w:rPr>
    </w:lvl>
    <w:lvl w:ilvl="2" w:tplc="A2E836E8" w:tentative="1">
      <w:start w:val="1"/>
      <w:numFmt w:val="bullet"/>
      <w:lvlText w:val="•"/>
      <w:lvlJc w:val="left"/>
      <w:pPr>
        <w:tabs>
          <w:tab w:val="num" w:pos="2160"/>
        </w:tabs>
        <w:ind w:left="2160" w:hanging="360"/>
      </w:pPr>
      <w:rPr>
        <w:rFonts w:ascii="Arial" w:hAnsi="Arial" w:hint="default"/>
      </w:rPr>
    </w:lvl>
    <w:lvl w:ilvl="3" w:tplc="B0263224" w:tentative="1">
      <w:start w:val="1"/>
      <w:numFmt w:val="bullet"/>
      <w:lvlText w:val="•"/>
      <w:lvlJc w:val="left"/>
      <w:pPr>
        <w:tabs>
          <w:tab w:val="num" w:pos="2880"/>
        </w:tabs>
        <w:ind w:left="2880" w:hanging="360"/>
      </w:pPr>
      <w:rPr>
        <w:rFonts w:ascii="Arial" w:hAnsi="Arial" w:hint="default"/>
      </w:rPr>
    </w:lvl>
    <w:lvl w:ilvl="4" w:tplc="06CABDE4" w:tentative="1">
      <w:start w:val="1"/>
      <w:numFmt w:val="bullet"/>
      <w:lvlText w:val="•"/>
      <w:lvlJc w:val="left"/>
      <w:pPr>
        <w:tabs>
          <w:tab w:val="num" w:pos="3600"/>
        </w:tabs>
        <w:ind w:left="3600" w:hanging="360"/>
      </w:pPr>
      <w:rPr>
        <w:rFonts w:ascii="Arial" w:hAnsi="Arial" w:hint="default"/>
      </w:rPr>
    </w:lvl>
    <w:lvl w:ilvl="5" w:tplc="4316317E" w:tentative="1">
      <w:start w:val="1"/>
      <w:numFmt w:val="bullet"/>
      <w:lvlText w:val="•"/>
      <w:lvlJc w:val="left"/>
      <w:pPr>
        <w:tabs>
          <w:tab w:val="num" w:pos="4320"/>
        </w:tabs>
        <w:ind w:left="4320" w:hanging="360"/>
      </w:pPr>
      <w:rPr>
        <w:rFonts w:ascii="Arial" w:hAnsi="Arial" w:hint="default"/>
      </w:rPr>
    </w:lvl>
    <w:lvl w:ilvl="6" w:tplc="0AA851EA" w:tentative="1">
      <w:start w:val="1"/>
      <w:numFmt w:val="bullet"/>
      <w:lvlText w:val="•"/>
      <w:lvlJc w:val="left"/>
      <w:pPr>
        <w:tabs>
          <w:tab w:val="num" w:pos="5040"/>
        </w:tabs>
        <w:ind w:left="5040" w:hanging="360"/>
      </w:pPr>
      <w:rPr>
        <w:rFonts w:ascii="Arial" w:hAnsi="Arial" w:hint="default"/>
      </w:rPr>
    </w:lvl>
    <w:lvl w:ilvl="7" w:tplc="FEB04D70" w:tentative="1">
      <w:start w:val="1"/>
      <w:numFmt w:val="bullet"/>
      <w:lvlText w:val="•"/>
      <w:lvlJc w:val="left"/>
      <w:pPr>
        <w:tabs>
          <w:tab w:val="num" w:pos="5760"/>
        </w:tabs>
        <w:ind w:left="5760" w:hanging="360"/>
      </w:pPr>
      <w:rPr>
        <w:rFonts w:ascii="Arial" w:hAnsi="Arial" w:hint="default"/>
      </w:rPr>
    </w:lvl>
    <w:lvl w:ilvl="8" w:tplc="1B20ED2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2F"/>
    <w:rsid w:val="00055D6E"/>
    <w:rsid w:val="00367556"/>
    <w:rsid w:val="005A74C5"/>
    <w:rsid w:val="00770FD0"/>
    <w:rsid w:val="00804A8E"/>
    <w:rsid w:val="008B7EC5"/>
    <w:rsid w:val="0091462F"/>
    <w:rsid w:val="00F4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C5"/>
    <w:pPr>
      <w:ind w:left="720"/>
      <w:contextualSpacing/>
    </w:pPr>
  </w:style>
  <w:style w:type="character" w:styleId="Hyperlink">
    <w:name w:val="Hyperlink"/>
    <w:basedOn w:val="DefaultParagraphFont"/>
    <w:uiPriority w:val="99"/>
    <w:unhideWhenUsed/>
    <w:rsid w:val="003675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C5"/>
    <w:pPr>
      <w:ind w:left="720"/>
      <w:contextualSpacing/>
    </w:pPr>
  </w:style>
  <w:style w:type="character" w:styleId="Hyperlink">
    <w:name w:val="Hyperlink"/>
    <w:basedOn w:val="DefaultParagraphFont"/>
    <w:uiPriority w:val="99"/>
    <w:unhideWhenUsed/>
    <w:rsid w:val="00367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0222">
      <w:bodyDiv w:val="1"/>
      <w:marLeft w:val="0"/>
      <w:marRight w:val="0"/>
      <w:marTop w:val="0"/>
      <w:marBottom w:val="0"/>
      <w:divBdr>
        <w:top w:val="none" w:sz="0" w:space="0" w:color="auto"/>
        <w:left w:val="none" w:sz="0" w:space="0" w:color="auto"/>
        <w:bottom w:val="none" w:sz="0" w:space="0" w:color="auto"/>
        <w:right w:val="none" w:sz="0" w:space="0" w:color="auto"/>
      </w:divBdr>
      <w:divsChild>
        <w:div w:id="35666962">
          <w:marLeft w:val="0"/>
          <w:marRight w:val="0"/>
          <w:marTop w:val="0"/>
          <w:marBottom w:val="0"/>
          <w:divBdr>
            <w:top w:val="none" w:sz="0" w:space="0" w:color="auto"/>
            <w:left w:val="none" w:sz="0" w:space="0" w:color="auto"/>
            <w:bottom w:val="none" w:sz="0" w:space="0" w:color="auto"/>
            <w:right w:val="none" w:sz="0" w:space="0" w:color="auto"/>
          </w:divBdr>
          <w:divsChild>
            <w:div w:id="1266113980">
              <w:marLeft w:val="0"/>
              <w:marRight w:val="0"/>
              <w:marTop w:val="0"/>
              <w:marBottom w:val="0"/>
              <w:divBdr>
                <w:top w:val="none" w:sz="0" w:space="0" w:color="auto"/>
                <w:left w:val="none" w:sz="0" w:space="0" w:color="auto"/>
                <w:bottom w:val="none" w:sz="0" w:space="0" w:color="auto"/>
                <w:right w:val="none" w:sz="0" w:space="0" w:color="auto"/>
              </w:divBdr>
            </w:div>
            <w:div w:id="125859108">
              <w:marLeft w:val="0"/>
              <w:marRight w:val="0"/>
              <w:marTop w:val="0"/>
              <w:marBottom w:val="0"/>
              <w:divBdr>
                <w:top w:val="none" w:sz="0" w:space="0" w:color="auto"/>
                <w:left w:val="none" w:sz="0" w:space="0" w:color="auto"/>
                <w:bottom w:val="none" w:sz="0" w:space="0" w:color="auto"/>
                <w:right w:val="none" w:sz="0" w:space="0" w:color="auto"/>
              </w:divBdr>
            </w:div>
          </w:divsChild>
        </w:div>
        <w:div w:id="108746519">
          <w:marLeft w:val="0"/>
          <w:marRight w:val="0"/>
          <w:marTop w:val="0"/>
          <w:marBottom w:val="0"/>
          <w:divBdr>
            <w:top w:val="none" w:sz="0" w:space="0" w:color="auto"/>
            <w:left w:val="none" w:sz="0" w:space="0" w:color="auto"/>
            <w:bottom w:val="none" w:sz="0" w:space="0" w:color="auto"/>
            <w:right w:val="none" w:sz="0" w:space="0" w:color="auto"/>
          </w:divBdr>
        </w:div>
      </w:divsChild>
    </w:div>
    <w:div w:id="945232297">
      <w:bodyDiv w:val="1"/>
      <w:marLeft w:val="0"/>
      <w:marRight w:val="0"/>
      <w:marTop w:val="0"/>
      <w:marBottom w:val="0"/>
      <w:divBdr>
        <w:top w:val="none" w:sz="0" w:space="0" w:color="auto"/>
        <w:left w:val="none" w:sz="0" w:space="0" w:color="auto"/>
        <w:bottom w:val="none" w:sz="0" w:space="0" w:color="auto"/>
        <w:right w:val="none" w:sz="0" w:space="0" w:color="auto"/>
      </w:divBdr>
      <w:divsChild>
        <w:div w:id="726801318">
          <w:marLeft w:val="547"/>
          <w:marRight w:val="0"/>
          <w:marTop w:val="134"/>
          <w:marBottom w:val="0"/>
          <w:divBdr>
            <w:top w:val="none" w:sz="0" w:space="0" w:color="auto"/>
            <w:left w:val="none" w:sz="0" w:space="0" w:color="auto"/>
            <w:bottom w:val="none" w:sz="0" w:space="0" w:color="auto"/>
            <w:right w:val="none" w:sz="0" w:space="0" w:color="auto"/>
          </w:divBdr>
        </w:div>
        <w:div w:id="530992383">
          <w:marLeft w:val="1166"/>
          <w:marRight w:val="0"/>
          <w:marTop w:val="110"/>
          <w:marBottom w:val="0"/>
          <w:divBdr>
            <w:top w:val="none" w:sz="0" w:space="0" w:color="auto"/>
            <w:left w:val="none" w:sz="0" w:space="0" w:color="auto"/>
            <w:bottom w:val="none" w:sz="0" w:space="0" w:color="auto"/>
            <w:right w:val="none" w:sz="0" w:space="0" w:color="auto"/>
          </w:divBdr>
        </w:div>
        <w:div w:id="2056853299">
          <w:marLeft w:val="1166"/>
          <w:marRight w:val="0"/>
          <w:marTop w:val="110"/>
          <w:marBottom w:val="0"/>
          <w:divBdr>
            <w:top w:val="none" w:sz="0" w:space="0" w:color="auto"/>
            <w:left w:val="none" w:sz="0" w:space="0" w:color="auto"/>
            <w:bottom w:val="none" w:sz="0" w:space="0" w:color="auto"/>
            <w:right w:val="none" w:sz="0" w:space="0" w:color="auto"/>
          </w:divBdr>
        </w:div>
        <w:div w:id="1515994675">
          <w:marLeft w:val="1166"/>
          <w:marRight w:val="0"/>
          <w:marTop w:val="110"/>
          <w:marBottom w:val="0"/>
          <w:divBdr>
            <w:top w:val="none" w:sz="0" w:space="0" w:color="auto"/>
            <w:left w:val="none" w:sz="0" w:space="0" w:color="auto"/>
            <w:bottom w:val="none" w:sz="0" w:space="0" w:color="auto"/>
            <w:right w:val="none" w:sz="0" w:space="0" w:color="auto"/>
          </w:divBdr>
        </w:div>
        <w:div w:id="1354261637">
          <w:marLeft w:val="1166"/>
          <w:marRight w:val="0"/>
          <w:marTop w:val="110"/>
          <w:marBottom w:val="0"/>
          <w:divBdr>
            <w:top w:val="none" w:sz="0" w:space="0" w:color="auto"/>
            <w:left w:val="none" w:sz="0" w:space="0" w:color="auto"/>
            <w:bottom w:val="none" w:sz="0" w:space="0" w:color="auto"/>
            <w:right w:val="none" w:sz="0" w:space="0" w:color="auto"/>
          </w:divBdr>
        </w:div>
        <w:div w:id="1651713932">
          <w:marLeft w:val="1166"/>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etecaribbean.org/wp-content/uploads/2015/12/CC-Project-Highlights-Winsun-Barbado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2016-05-10T15:11:00Z</dcterms:created>
  <dcterms:modified xsi:type="dcterms:W3CDTF">2016-05-10T15:11:00Z</dcterms:modified>
</cp:coreProperties>
</file>