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6" w:rsidRDefault="00427856" w:rsidP="003F7941">
      <w:pPr>
        <w:pStyle w:val="Title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>Missouri Department of Health and Senior Services’ Vision: Healthy Missourians for Life</w:t>
      </w:r>
    </w:p>
    <w:p w:rsidR="00861243" w:rsidRDefault="00861243" w:rsidP="00861243">
      <w:pPr>
        <w:pStyle w:val="Title"/>
        <w:rPr>
          <w:rFonts w:ascii="Arial Narrow" w:hAnsi="Arial Narrow"/>
          <w:szCs w:val="28"/>
          <w:u w:val="single"/>
        </w:rPr>
      </w:pPr>
    </w:p>
    <w:p w:rsidR="006301AA" w:rsidRDefault="00427856" w:rsidP="00861243">
      <w:pPr>
        <w:pStyle w:val="Title"/>
        <w:rPr>
          <w:rFonts w:ascii="Arial Narrow" w:hAnsi="Arial Narrow"/>
          <w:szCs w:val="28"/>
          <w:u w:val="single"/>
        </w:rPr>
      </w:pPr>
      <w:r w:rsidRPr="00427856">
        <w:rPr>
          <w:rFonts w:ascii="Arial Narrow" w:hAnsi="Arial Narrow"/>
          <w:szCs w:val="28"/>
          <w:u w:val="single"/>
        </w:rPr>
        <w:t>State Office of Rural Health Logic Model</w:t>
      </w:r>
      <w:r w:rsidR="009B5F44">
        <w:rPr>
          <w:rFonts w:ascii="Arial Narrow" w:hAnsi="Arial Narrow"/>
          <w:szCs w:val="28"/>
          <w:u w:val="single"/>
        </w:rPr>
        <w:t xml:space="preserve"> 2015</w:t>
      </w:r>
    </w:p>
    <w:p w:rsidR="00861243" w:rsidRDefault="00861243" w:rsidP="00427856">
      <w:pPr>
        <w:rPr>
          <w:rFonts w:ascii="Arial Narrow" w:hAnsi="Arial Narrow"/>
          <w:b/>
          <w:sz w:val="22"/>
          <w:szCs w:val="22"/>
          <w:u w:val="single"/>
        </w:rPr>
      </w:pPr>
    </w:p>
    <w:p w:rsidR="00427856" w:rsidRPr="00427856" w:rsidRDefault="00427856" w:rsidP="00427856">
      <w:pPr>
        <w:rPr>
          <w:rFonts w:ascii="Arial Narrow" w:hAnsi="Arial Narrow"/>
          <w:sz w:val="22"/>
          <w:szCs w:val="22"/>
        </w:rPr>
      </w:pPr>
      <w:r w:rsidRPr="00427856">
        <w:rPr>
          <w:rFonts w:ascii="Arial Narrow" w:hAnsi="Arial Narrow"/>
          <w:b/>
          <w:sz w:val="22"/>
          <w:szCs w:val="22"/>
          <w:u w:val="single"/>
        </w:rPr>
        <w:t>Overall Goal/ Purpose of Program:</w:t>
      </w:r>
      <w:r w:rsidRPr="00427856">
        <w:rPr>
          <w:rFonts w:ascii="Arial Narrow" w:hAnsi="Arial Narrow"/>
          <w:sz w:val="22"/>
          <w:szCs w:val="22"/>
        </w:rPr>
        <w:t xml:space="preserve">  Support rural health for Missourians.  </w:t>
      </w:r>
    </w:p>
    <w:tbl>
      <w:tblPr>
        <w:tblpPr w:leftFromText="180" w:rightFromText="180" w:vertAnchor="page" w:horzAnchor="margin" w:tblpY="2266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2521"/>
        <w:gridCol w:w="2159"/>
        <w:gridCol w:w="2789"/>
        <w:gridCol w:w="2521"/>
        <w:gridCol w:w="3330"/>
      </w:tblGrid>
      <w:tr w:rsidR="00427856" w:rsidRPr="003F7941" w:rsidTr="00785EE8">
        <w:trPr>
          <w:trHeight w:val="623"/>
        </w:trPr>
        <w:tc>
          <w:tcPr>
            <w:tcW w:w="520" w:type="pct"/>
            <w:shd w:val="clear" w:color="auto" w:fill="8DB3E2"/>
          </w:tcPr>
          <w:p w:rsidR="00427856" w:rsidRPr="009A1B46" w:rsidRDefault="00427856" w:rsidP="00427856">
            <w:pPr>
              <w:pStyle w:val="Heading1"/>
              <w:jc w:val="center"/>
              <w:rPr>
                <w:rFonts w:ascii="Arial Narrow" w:hAnsi="Arial Narrow"/>
                <w:szCs w:val="22"/>
                <w:u w:val="single"/>
              </w:rPr>
            </w:pPr>
            <w:r w:rsidRPr="009A1B46">
              <w:rPr>
                <w:rFonts w:ascii="Arial Narrow" w:hAnsi="Arial Narrow"/>
                <w:szCs w:val="22"/>
                <w:u w:val="single"/>
              </w:rPr>
              <w:t>Resources I Inputs</w:t>
            </w:r>
          </w:p>
          <w:p w:rsidR="00427856" w:rsidRPr="003F7941" w:rsidRDefault="00427856" w:rsidP="0042785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8DB3E2"/>
          </w:tcPr>
          <w:p w:rsidR="00427856" w:rsidRPr="009A1B46" w:rsidRDefault="00427856" w:rsidP="00427856">
            <w:pPr>
              <w:pStyle w:val="Heading1"/>
              <w:jc w:val="center"/>
              <w:rPr>
                <w:rFonts w:ascii="Arial Narrow" w:hAnsi="Arial Narrow"/>
                <w:szCs w:val="22"/>
                <w:u w:val="single"/>
              </w:rPr>
            </w:pPr>
            <w:r w:rsidRPr="009A1B46">
              <w:rPr>
                <w:rFonts w:ascii="Arial Narrow" w:hAnsi="Arial Narrow"/>
                <w:szCs w:val="22"/>
                <w:u w:val="single"/>
              </w:rPr>
              <w:t>Activities</w:t>
            </w:r>
          </w:p>
          <w:p w:rsidR="00427856" w:rsidRPr="003F7941" w:rsidRDefault="00427856" w:rsidP="00427856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8DB3E2"/>
          </w:tcPr>
          <w:p w:rsidR="00427856" w:rsidRPr="009A1B46" w:rsidRDefault="00427856" w:rsidP="00427856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</w:pPr>
            <w:r w:rsidRPr="009A1B46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Target</w:t>
            </w:r>
          </w:p>
          <w:p w:rsidR="00427856" w:rsidRPr="009A1B46" w:rsidRDefault="00427856" w:rsidP="00427856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u w:val="single"/>
              </w:rPr>
            </w:pPr>
            <w:r w:rsidRPr="009A1B46">
              <w:rPr>
                <w:rFonts w:ascii="Arial Narrow" w:hAnsi="Arial Narrow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Population</w:t>
            </w:r>
          </w:p>
        </w:tc>
        <w:tc>
          <w:tcPr>
            <w:tcW w:w="938" w:type="pct"/>
            <w:shd w:val="clear" w:color="auto" w:fill="8DB3E2"/>
          </w:tcPr>
          <w:p w:rsidR="00427856" w:rsidRPr="009A1B46" w:rsidRDefault="00427856" w:rsidP="00427856">
            <w:pPr>
              <w:pStyle w:val="BodyText"/>
              <w:jc w:val="center"/>
              <w:rPr>
                <w:rFonts w:ascii="Arial Narrow" w:hAnsi="Arial Narrow"/>
                <w:szCs w:val="22"/>
                <w:u w:val="single"/>
              </w:rPr>
            </w:pPr>
            <w:r w:rsidRPr="009A1B46">
              <w:rPr>
                <w:rFonts w:ascii="Arial Narrow" w:hAnsi="Arial Narrow"/>
                <w:szCs w:val="22"/>
                <w:u w:val="single"/>
              </w:rPr>
              <w:t>Outputs</w:t>
            </w:r>
          </w:p>
          <w:p w:rsidR="00427856" w:rsidRPr="009A1B46" w:rsidRDefault="00427856" w:rsidP="00427856">
            <w:pPr>
              <w:pStyle w:val="BodyText"/>
              <w:rPr>
                <w:rFonts w:ascii="Arial Narrow" w:hAnsi="Arial Narrow"/>
                <w:szCs w:val="22"/>
                <w:u w:val="single"/>
              </w:rPr>
            </w:pPr>
          </w:p>
        </w:tc>
        <w:tc>
          <w:tcPr>
            <w:tcW w:w="848" w:type="pct"/>
            <w:shd w:val="clear" w:color="auto" w:fill="8DB3E2"/>
          </w:tcPr>
          <w:p w:rsidR="00427856" w:rsidRPr="009A1B46" w:rsidRDefault="00427856" w:rsidP="00427856">
            <w:pPr>
              <w:pStyle w:val="BodyText"/>
              <w:jc w:val="center"/>
              <w:rPr>
                <w:rFonts w:ascii="Arial Narrow" w:hAnsi="Arial Narrow"/>
                <w:szCs w:val="22"/>
                <w:u w:val="single"/>
              </w:rPr>
            </w:pPr>
            <w:r w:rsidRPr="009A1B46">
              <w:rPr>
                <w:rFonts w:ascii="Arial Narrow" w:hAnsi="Arial Narrow"/>
                <w:szCs w:val="22"/>
                <w:u w:val="single"/>
              </w:rPr>
              <w:t>Outcomes</w:t>
            </w:r>
          </w:p>
          <w:p w:rsidR="00427856" w:rsidRPr="009A1B46" w:rsidRDefault="00427856" w:rsidP="00427856">
            <w:pPr>
              <w:jc w:val="center"/>
              <w:rPr>
                <w:rFonts w:ascii="Arial Narrow" w:hAnsi="Arial Narrow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120" w:type="pct"/>
            <w:shd w:val="clear" w:color="auto" w:fill="8DB3E2"/>
          </w:tcPr>
          <w:p w:rsidR="00427856" w:rsidRPr="009A1B46" w:rsidRDefault="00427856" w:rsidP="00427856">
            <w:pPr>
              <w:pStyle w:val="Heading1"/>
              <w:jc w:val="center"/>
              <w:rPr>
                <w:rFonts w:ascii="Arial Narrow" w:hAnsi="Arial Narrow"/>
                <w:szCs w:val="22"/>
                <w:u w:val="single"/>
              </w:rPr>
            </w:pPr>
            <w:r>
              <w:rPr>
                <w:rFonts w:ascii="Arial Narrow" w:hAnsi="Arial Narrow"/>
                <w:szCs w:val="22"/>
                <w:u w:val="single"/>
              </w:rPr>
              <w:t>Impact</w:t>
            </w:r>
          </w:p>
        </w:tc>
      </w:tr>
      <w:tr w:rsidR="00427856" w:rsidRPr="003F7941" w:rsidTr="00785EE8">
        <w:trPr>
          <w:trHeight w:val="7598"/>
        </w:trPr>
        <w:tc>
          <w:tcPr>
            <w:tcW w:w="520" w:type="pct"/>
            <w:tcBorders>
              <w:bottom w:val="single" w:sz="4" w:space="0" w:color="auto"/>
            </w:tcBorders>
          </w:tcPr>
          <w:p w:rsidR="00427856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Federal Funds/</w:t>
            </w:r>
          </w:p>
          <w:p w:rsidR="00861243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Partners</w:t>
            </w:r>
          </w:p>
          <w:p w:rsidR="00861243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861243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State Funds</w:t>
            </w:r>
          </w:p>
          <w:p w:rsidR="00861243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861243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External Partners (MHA, Primaris, PCA)</w:t>
            </w:r>
          </w:p>
          <w:p w:rsidR="00861243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861243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Internal Partners (PCO, DCPH)</w:t>
            </w:r>
          </w:p>
          <w:p w:rsidR="00861243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861243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OPCRH Staff</w:t>
            </w:r>
          </w:p>
          <w:p w:rsidR="00861243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861243" w:rsidRPr="003F7941" w:rsidRDefault="00861243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TruServe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427856" w:rsidRDefault="00861243" w:rsidP="00427856">
            <w:pPr>
              <w:pStyle w:val="BodyText3"/>
              <w:ind w:right="-78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Provide Technical Assistance to interested parties</w:t>
            </w:r>
            <w:r w:rsidR="00E27C66">
              <w:rPr>
                <w:rFonts w:ascii="Arial Narrow" w:hAnsi="Arial Narrow"/>
                <w:i w:val="0"/>
                <w:szCs w:val="22"/>
              </w:rPr>
              <w:t xml:space="preserve"> through webinars, e-mails,</w:t>
            </w:r>
            <w:r w:rsidR="0034614C">
              <w:rPr>
                <w:rFonts w:ascii="Arial Narrow" w:hAnsi="Arial Narrow"/>
                <w:i w:val="0"/>
                <w:szCs w:val="22"/>
              </w:rPr>
              <w:t xml:space="preserve"> phone calls,</w:t>
            </w:r>
            <w:r w:rsidR="00E27C66">
              <w:rPr>
                <w:rFonts w:ascii="Arial Narrow" w:hAnsi="Arial Narrow"/>
                <w:i w:val="0"/>
                <w:szCs w:val="22"/>
              </w:rPr>
              <w:t xml:space="preserve"> site visits, and web updates</w:t>
            </w:r>
          </w:p>
          <w:p w:rsidR="00E27C66" w:rsidRDefault="00E27C66" w:rsidP="00427856">
            <w:pPr>
              <w:pStyle w:val="BodyText3"/>
              <w:ind w:right="-78"/>
              <w:rPr>
                <w:rFonts w:ascii="Arial Narrow" w:hAnsi="Arial Narrow"/>
                <w:i w:val="0"/>
                <w:szCs w:val="22"/>
              </w:rPr>
            </w:pPr>
          </w:p>
          <w:p w:rsidR="00861243" w:rsidRDefault="00861243" w:rsidP="00427856">
            <w:pPr>
              <w:pStyle w:val="BodyText3"/>
              <w:ind w:right="-78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Disseminate information related to rural health</w:t>
            </w:r>
            <w:r w:rsidR="00E27C66">
              <w:rPr>
                <w:rFonts w:ascii="Arial Narrow" w:hAnsi="Arial Narrow"/>
                <w:i w:val="0"/>
                <w:szCs w:val="22"/>
              </w:rPr>
              <w:t xml:space="preserve"> through an annual conference, web updates, e-mails, publications, and site visits</w:t>
            </w:r>
          </w:p>
          <w:p w:rsidR="00861243" w:rsidRDefault="00861243" w:rsidP="00427856">
            <w:pPr>
              <w:pStyle w:val="BodyText3"/>
              <w:ind w:right="-78"/>
              <w:rPr>
                <w:rFonts w:ascii="Arial Narrow" w:hAnsi="Arial Narrow"/>
                <w:i w:val="0"/>
                <w:szCs w:val="22"/>
              </w:rPr>
            </w:pPr>
          </w:p>
          <w:p w:rsidR="00861243" w:rsidRDefault="00E27C66" w:rsidP="00427856">
            <w:pPr>
              <w:pStyle w:val="BodyText3"/>
              <w:ind w:right="-78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Provide financial support to rural stakeholders</w:t>
            </w:r>
          </w:p>
          <w:p w:rsidR="00861243" w:rsidRDefault="00861243" w:rsidP="00427856">
            <w:pPr>
              <w:pStyle w:val="BodyText3"/>
              <w:ind w:right="-78"/>
              <w:rPr>
                <w:rFonts w:ascii="Arial Narrow" w:hAnsi="Arial Narrow"/>
                <w:i w:val="0"/>
                <w:szCs w:val="22"/>
              </w:rPr>
            </w:pPr>
          </w:p>
          <w:p w:rsidR="00861243" w:rsidRPr="003F7941" w:rsidRDefault="00861243" w:rsidP="00427856">
            <w:pPr>
              <w:pStyle w:val="BodyText3"/>
              <w:ind w:right="-78"/>
              <w:rPr>
                <w:rFonts w:ascii="Arial Narrow" w:hAnsi="Arial Narrow"/>
                <w:i w:val="0"/>
                <w:szCs w:val="22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42785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Rural Citizens</w:t>
            </w: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Rural Healthcare Providers</w:t>
            </w: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Rural Health Clinics</w:t>
            </w: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Rural Hospitals</w:t>
            </w: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Rural Organizations</w:t>
            </w: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Rural Governments</w:t>
            </w:r>
          </w:p>
          <w:p w:rsidR="0069614E" w:rsidRDefault="0069614E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69614E" w:rsidRPr="003F7941" w:rsidRDefault="0069614E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Other Rural Stakeholders (Economic Development, USDA, AHECs)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427856" w:rsidRDefault="002C47F2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Assure quality improvement webinars are conducted/disseminated for CAHs</w:t>
            </w:r>
          </w:p>
          <w:p w:rsidR="00E27C66" w:rsidRDefault="00E27C66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Default="00121753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Host</w:t>
            </w:r>
            <w:r w:rsidR="00E27C66">
              <w:rPr>
                <w:rFonts w:ascii="Arial Narrow" w:hAnsi="Arial Narrow"/>
                <w:i w:val="0"/>
                <w:szCs w:val="22"/>
              </w:rPr>
              <w:t xml:space="preserve"> Annual Conference</w:t>
            </w:r>
          </w:p>
          <w:p w:rsidR="00E27C66" w:rsidRDefault="00E27C66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Default="00E27C66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Site visits performed to 33% of Critical Access Hospitals (CAHs) on an annual basis</w:t>
            </w:r>
          </w:p>
          <w:p w:rsidR="00E27C66" w:rsidRDefault="00E27C66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Default="00E27C66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100% of inquires are responded to in a timely matter</w:t>
            </w:r>
          </w:p>
          <w:p w:rsidR="00E27C66" w:rsidRDefault="00E27C66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Default="00E27C66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All inquiries are entered into TruServe for tracking and analysis</w:t>
            </w:r>
          </w:p>
          <w:p w:rsidR="002C47F2" w:rsidRDefault="002C47F2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Default="002C47F2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Six rural health reports/</w:t>
            </w:r>
            <w:r w:rsidR="00E27C66">
              <w:rPr>
                <w:rFonts w:ascii="Arial Narrow" w:hAnsi="Arial Narrow"/>
                <w:i w:val="0"/>
                <w:szCs w:val="22"/>
              </w:rPr>
              <w:t xml:space="preserve"> pu</w:t>
            </w:r>
            <w:r>
              <w:rPr>
                <w:rFonts w:ascii="Arial Narrow" w:hAnsi="Arial Narrow"/>
                <w:i w:val="0"/>
                <w:szCs w:val="22"/>
              </w:rPr>
              <w:t>blications created/developed and posted to the web per year</w:t>
            </w:r>
          </w:p>
          <w:p w:rsidR="00E27C66" w:rsidRDefault="00E27C66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Default="00E27C66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 xml:space="preserve">Development and publication of the Missouri Biennial Report </w:t>
            </w:r>
          </w:p>
          <w:p w:rsidR="002C47F2" w:rsidRDefault="002C47F2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Pr="003F7941" w:rsidRDefault="00E27C66" w:rsidP="00E27C6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Information dissemination through the Rural Health Blog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42785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CAHs use data to drive quality, financial, and operational improvement projects</w:t>
            </w: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Pr="003F7941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Rural stakeholders utilize information to improve health in rural communities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42785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Improved patient safety and assurance of high quality patient care</w:t>
            </w:r>
          </w:p>
          <w:p w:rsidR="00E27C66" w:rsidRDefault="00E27C66" w:rsidP="00427856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</w:p>
          <w:p w:rsidR="00E27C66" w:rsidRPr="003F7941" w:rsidRDefault="000B462B" w:rsidP="000B462B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Rural Missourians displayed improved health status.</w:t>
            </w:r>
          </w:p>
        </w:tc>
      </w:tr>
      <w:tr w:rsidR="00427856" w:rsidRPr="003F7941" w:rsidTr="00785EE8">
        <w:trPr>
          <w:cantSplit/>
          <w:trHeight w:val="353"/>
        </w:trPr>
        <w:tc>
          <w:tcPr>
            <w:tcW w:w="520" w:type="pct"/>
            <w:shd w:val="clear" w:color="auto" w:fill="FDE9D9"/>
          </w:tcPr>
          <w:p w:rsidR="00427856" w:rsidRPr="009A1B46" w:rsidRDefault="00427856" w:rsidP="00861243">
            <w:pPr>
              <w:pStyle w:val="BodyText3"/>
              <w:rPr>
                <w:rFonts w:ascii="Arial Narrow" w:hAnsi="Arial Narrow"/>
                <w:i w:val="0"/>
                <w:szCs w:val="22"/>
                <w:u w:val="single"/>
              </w:rPr>
            </w:pPr>
            <w:bookmarkStart w:id="0" w:name="_GoBack"/>
            <w:r w:rsidRPr="009A1B46">
              <w:rPr>
                <w:rFonts w:ascii="Arial Narrow" w:hAnsi="Arial Narrow"/>
                <w:b/>
                <w:bCs/>
                <w:i w:val="0"/>
                <w:szCs w:val="22"/>
                <w:u w:val="single"/>
              </w:rPr>
              <w:t>External Conditions</w:t>
            </w:r>
          </w:p>
        </w:tc>
        <w:tc>
          <w:tcPr>
            <w:tcW w:w="4479" w:type="pct"/>
            <w:gridSpan w:val="5"/>
            <w:shd w:val="clear" w:color="auto" w:fill="FDE9D9"/>
          </w:tcPr>
          <w:p w:rsidR="00427856" w:rsidRPr="003F7941" w:rsidRDefault="00E27C66" w:rsidP="0034614C">
            <w:pPr>
              <w:pStyle w:val="BodyText3"/>
              <w:rPr>
                <w:rFonts w:ascii="Arial Narrow" w:hAnsi="Arial Narrow"/>
                <w:i w:val="0"/>
                <w:szCs w:val="22"/>
              </w:rPr>
            </w:pPr>
            <w:r>
              <w:rPr>
                <w:rFonts w:ascii="Arial Narrow" w:hAnsi="Arial Narrow"/>
                <w:i w:val="0"/>
                <w:szCs w:val="22"/>
              </w:rPr>
              <w:t>RSMo 192.604- Establishes the</w:t>
            </w:r>
            <w:r w:rsidR="0034614C">
              <w:rPr>
                <w:rFonts w:ascii="Arial Narrow" w:hAnsi="Arial Narrow"/>
                <w:i w:val="0"/>
                <w:szCs w:val="22"/>
              </w:rPr>
              <w:t xml:space="preserve"> framework</w:t>
            </w:r>
            <w:r>
              <w:rPr>
                <w:rFonts w:ascii="Arial Narrow" w:hAnsi="Arial Narrow"/>
                <w:i w:val="0"/>
                <w:szCs w:val="22"/>
              </w:rPr>
              <w:t xml:space="preserve"> of the State Office of Rural Health</w:t>
            </w:r>
          </w:p>
        </w:tc>
      </w:tr>
    </w:tbl>
    <w:p w:rsidR="008668FF" w:rsidRPr="003F7941" w:rsidRDefault="008668FF" w:rsidP="00785EE8">
      <w:pPr>
        <w:rPr>
          <w:rFonts w:ascii="Arial Narrow" w:hAnsi="Arial Narrow"/>
          <w:sz w:val="22"/>
          <w:szCs w:val="22"/>
        </w:rPr>
      </w:pPr>
    </w:p>
    <w:bookmarkEnd w:id="0"/>
    <w:sectPr w:rsidR="008668FF" w:rsidRPr="003F7941" w:rsidSect="00861243">
      <w:footerReference w:type="default" r:id="rId9"/>
      <w:pgSz w:w="15840" w:h="12240" w:orient="landscape" w:code="1"/>
      <w:pgMar w:top="302" w:right="720" w:bottom="30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44" w:rsidRDefault="009B5F44">
      <w:r>
        <w:separator/>
      </w:r>
    </w:p>
  </w:endnote>
  <w:endnote w:type="continuationSeparator" w:id="0">
    <w:p w:rsidR="009B5F44" w:rsidRDefault="009B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44" w:rsidRDefault="00292157" w:rsidP="00861243">
    <w:pPr>
      <w:pStyle w:val="Footer"/>
      <w:tabs>
        <w:tab w:val="clear" w:pos="4320"/>
        <w:tab w:val="clear" w:pos="8640"/>
        <w:tab w:val="center" w:pos="7200"/>
        <w:tab w:val="right" w:pos="1440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4305300</wp:posOffset>
          </wp:positionH>
          <wp:positionV relativeFrom="margin">
            <wp:posOffset>6922135</wp:posOffset>
          </wp:positionV>
          <wp:extent cx="533400" cy="447675"/>
          <wp:effectExtent l="0" t="0" r="0" b="9525"/>
          <wp:wrapSquare wrapText="bothSides"/>
          <wp:docPr id="4" name="Picture 2" descr="DHHSRoun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HSRoun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F44" w:rsidRPr="00861243">
      <w:rPr>
        <w:color w:val="auto"/>
      </w:rPr>
      <w:tab/>
    </w:r>
    <w:r w:rsidR="009B5F44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44" w:rsidRDefault="009B5F44">
      <w:r>
        <w:separator/>
      </w:r>
    </w:p>
  </w:footnote>
  <w:footnote w:type="continuationSeparator" w:id="0">
    <w:p w:rsidR="009B5F44" w:rsidRDefault="009B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D80"/>
    <w:multiLevelType w:val="hybridMultilevel"/>
    <w:tmpl w:val="AF700B14"/>
    <w:lvl w:ilvl="0" w:tplc="C622B70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36AB4"/>
    <w:multiLevelType w:val="hybridMultilevel"/>
    <w:tmpl w:val="AF700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36D"/>
    <w:multiLevelType w:val="hybridMultilevel"/>
    <w:tmpl w:val="AF700B14"/>
    <w:lvl w:ilvl="0" w:tplc="264A43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A769E"/>
    <w:multiLevelType w:val="hybridMultilevel"/>
    <w:tmpl w:val="D4F2F980"/>
    <w:lvl w:ilvl="0" w:tplc="BA2A938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34DB4"/>
    <w:multiLevelType w:val="hybridMultilevel"/>
    <w:tmpl w:val="C5A262E6"/>
    <w:lvl w:ilvl="0" w:tplc="196EEBF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2C1DA2"/>
    <w:multiLevelType w:val="hybridMultilevel"/>
    <w:tmpl w:val="6E12145C"/>
    <w:lvl w:ilvl="0" w:tplc="B5FE6674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754F8"/>
    <w:multiLevelType w:val="hybridMultilevel"/>
    <w:tmpl w:val="D7800652"/>
    <w:lvl w:ilvl="0" w:tplc="EDD8F724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6024C"/>
    <w:multiLevelType w:val="hybridMultilevel"/>
    <w:tmpl w:val="CF7413F4"/>
    <w:lvl w:ilvl="0" w:tplc="B5FE667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73D5A"/>
    <w:multiLevelType w:val="hybridMultilevel"/>
    <w:tmpl w:val="BCBE3BDA"/>
    <w:lvl w:ilvl="0" w:tplc="196EEBF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E72DB"/>
    <w:multiLevelType w:val="hybridMultilevel"/>
    <w:tmpl w:val="AF700B14"/>
    <w:lvl w:ilvl="0" w:tplc="0BA2BE8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D756F"/>
    <w:multiLevelType w:val="hybridMultilevel"/>
    <w:tmpl w:val="AF700B14"/>
    <w:lvl w:ilvl="0" w:tplc="7988EAD6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37C88"/>
    <w:multiLevelType w:val="hybridMultilevel"/>
    <w:tmpl w:val="9586DB04"/>
    <w:lvl w:ilvl="0" w:tplc="96EA339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F349B"/>
    <w:multiLevelType w:val="hybridMultilevel"/>
    <w:tmpl w:val="B5E25302"/>
    <w:lvl w:ilvl="0" w:tplc="264A43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B4A78"/>
    <w:multiLevelType w:val="hybridMultilevel"/>
    <w:tmpl w:val="E8C68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5022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D269A8"/>
    <w:multiLevelType w:val="hybridMultilevel"/>
    <w:tmpl w:val="28268438"/>
    <w:lvl w:ilvl="0" w:tplc="96EA3398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AC06523"/>
    <w:multiLevelType w:val="hybridMultilevel"/>
    <w:tmpl w:val="688AE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622361"/>
    <w:multiLevelType w:val="hybridMultilevel"/>
    <w:tmpl w:val="AF700B14"/>
    <w:lvl w:ilvl="0" w:tplc="292A94FC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4"/>
  </w:num>
  <w:num w:numId="14">
    <w:abstractNumId w:val="8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AF"/>
    <w:rsid w:val="000B462B"/>
    <w:rsid w:val="000C3290"/>
    <w:rsid w:val="000D491D"/>
    <w:rsid w:val="00121753"/>
    <w:rsid w:val="00125967"/>
    <w:rsid w:val="00150A52"/>
    <w:rsid w:val="0022595C"/>
    <w:rsid w:val="00234A30"/>
    <w:rsid w:val="00292157"/>
    <w:rsid w:val="002C47F2"/>
    <w:rsid w:val="0033320E"/>
    <w:rsid w:val="0033564D"/>
    <w:rsid w:val="0034614C"/>
    <w:rsid w:val="003576F4"/>
    <w:rsid w:val="003F7941"/>
    <w:rsid w:val="00427856"/>
    <w:rsid w:val="00443B3F"/>
    <w:rsid w:val="004C6969"/>
    <w:rsid w:val="00577EDA"/>
    <w:rsid w:val="005E4C73"/>
    <w:rsid w:val="00607C1D"/>
    <w:rsid w:val="006301AA"/>
    <w:rsid w:val="0069614E"/>
    <w:rsid w:val="00756E05"/>
    <w:rsid w:val="00780428"/>
    <w:rsid w:val="00785EE8"/>
    <w:rsid w:val="00797A4E"/>
    <w:rsid w:val="007A2D9F"/>
    <w:rsid w:val="00861243"/>
    <w:rsid w:val="008614E9"/>
    <w:rsid w:val="008668FF"/>
    <w:rsid w:val="008908FE"/>
    <w:rsid w:val="008E738C"/>
    <w:rsid w:val="0092146E"/>
    <w:rsid w:val="00932CC1"/>
    <w:rsid w:val="00946E48"/>
    <w:rsid w:val="009A1B46"/>
    <w:rsid w:val="009B5F44"/>
    <w:rsid w:val="009C01ED"/>
    <w:rsid w:val="009F52E3"/>
    <w:rsid w:val="00A10E1A"/>
    <w:rsid w:val="00A21813"/>
    <w:rsid w:val="00A2318B"/>
    <w:rsid w:val="00AE25EE"/>
    <w:rsid w:val="00B138A1"/>
    <w:rsid w:val="00B179BA"/>
    <w:rsid w:val="00C20CC5"/>
    <w:rsid w:val="00C60633"/>
    <w:rsid w:val="00D63D55"/>
    <w:rsid w:val="00E27C66"/>
    <w:rsid w:val="00E721E4"/>
    <w:rsid w:val="00F61D6C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auto"/>
      <w:sz w:val="28"/>
    </w:rPr>
  </w:style>
  <w:style w:type="paragraph" w:styleId="BodyText">
    <w:name w:val="Body Text"/>
    <w:basedOn w:val="Normal"/>
    <w:semiHidden/>
    <w:rPr>
      <w:b/>
      <w:bCs/>
      <w:i/>
      <w:iCs/>
      <w:color w:val="auto"/>
      <w:sz w:val="22"/>
    </w:rPr>
  </w:style>
  <w:style w:type="paragraph" w:styleId="BodyText2">
    <w:name w:val="Body Text 2"/>
    <w:basedOn w:val="Normal"/>
    <w:semiHidden/>
    <w:rPr>
      <w:color w:val="auto"/>
      <w:sz w:val="22"/>
    </w:rPr>
  </w:style>
  <w:style w:type="paragraph" w:styleId="BodyText3">
    <w:name w:val="Body Text 3"/>
    <w:basedOn w:val="Normal"/>
    <w:semiHidden/>
    <w:rPr>
      <w:i/>
      <w:iCs/>
      <w:color w:val="auto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auto"/>
      <w:sz w:val="28"/>
    </w:rPr>
  </w:style>
  <w:style w:type="paragraph" w:styleId="BodyText">
    <w:name w:val="Body Text"/>
    <w:basedOn w:val="Normal"/>
    <w:semiHidden/>
    <w:rPr>
      <w:b/>
      <w:bCs/>
      <w:i/>
      <w:iCs/>
      <w:color w:val="auto"/>
      <w:sz w:val="22"/>
    </w:rPr>
  </w:style>
  <w:style w:type="paragraph" w:styleId="BodyText2">
    <w:name w:val="Body Text 2"/>
    <w:basedOn w:val="Normal"/>
    <w:semiHidden/>
    <w:rPr>
      <w:color w:val="auto"/>
      <w:sz w:val="22"/>
    </w:rPr>
  </w:style>
  <w:style w:type="paragraph" w:styleId="BodyText3">
    <w:name w:val="Body Text 3"/>
    <w:basedOn w:val="Normal"/>
    <w:semiHidden/>
    <w:rPr>
      <w:i/>
      <w:iCs/>
      <w:color w:val="auto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2871-BCA0-2C4A-9A3E-6BD033FC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Evaluation Logic Modeling</vt:lpstr>
    </vt:vector>
  </TitlesOfParts>
  <Company>IBM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Evaluation Logic Modeling</dc:title>
  <dc:creator>Constance W. Brooks</dc:creator>
  <cp:lastModifiedBy>Kassie Clarke</cp:lastModifiedBy>
  <cp:revision>2</cp:revision>
  <cp:lastPrinted>2013-08-22T13:56:00Z</cp:lastPrinted>
  <dcterms:created xsi:type="dcterms:W3CDTF">2015-10-20T00:52:00Z</dcterms:created>
  <dcterms:modified xsi:type="dcterms:W3CDTF">2015-10-20T00:52:00Z</dcterms:modified>
</cp:coreProperties>
</file>