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B9" w:rsidRPr="00C660FE" w:rsidRDefault="00206A00" w:rsidP="00FC6B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3400" w:rsidRPr="00C660FE">
        <w:rPr>
          <w:b/>
          <w:sz w:val="28"/>
          <w:szCs w:val="28"/>
        </w:rPr>
        <w:t xml:space="preserve">Salary Range </w:t>
      </w:r>
      <w:r w:rsidR="00107082" w:rsidRPr="00C660FE">
        <w:rPr>
          <w:b/>
          <w:sz w:val="28"/>
          <w:szCs w:val="28"/>
        </w:rPr>
        <w:t xml:space="preserve">Brackets </w:t>
      </w:r>
      <w:r w:rsidR="00DA024A">
        <w:rPr>
          <w:b/>
          <w:sz w:val="28"/>
          <w:szCs w:val="28"/>
        </w:rPr>
        <w:t>and Fee Revisions for</w:t>
      </w:r>
      <w:r w:rsidR="00910D58" w:rsidRPr="00C660FE">
        <w:rPr>
          <w:b/>
          <w:sz w:val="28"/>
          <w:szCs w:val="28"/>
        </w:rPr>
        <w:t xml:space="preserve"> SLA </w:t>
      </w:r>
      <w:r w:rsidR="00107082" w:rsidRPr="00C660FE">
        <w:rPr>
          <w:b/>
          <w:sz w:val="28"/>
          <w:szCs w:val="28"/>
        </w:rPr>
        <w:t xml:space="preserve">Individual </w:t>
      </w:r>
      <w:r w:rsidR="00273400" w:rsidRPr="00C660FE">
        <w:rPr>
          <w:b/>
          <w:sz w:val="28"/>
          <w:szCs w:val="28"/>
        </w:rPr>
        <w:t>Membership</w:t>
      </w:r>
    </w:p>
    <w:p w:rsidR="00ED3E4B" w:rsidRDefault="006256DA" w:rsidP="006256DA">
      <w:pPr>
        <w:pStyle w:val="NoSpacing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Prepared by Michael Shires, Vice-President of Membership and Publications</w:t>
      </w:r>
    </w:p>
    <w:p w:rsidR="006256DA" w:rsidRDefault="006256DA" w:rsidP="006256DA">
      <w:pPr>
        <w:pStyle w:val="NoSpacing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B9007E" w:rsidRDefault="00B9007E" w:rsidP="00022CF0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6256DA" w:rsidRDefault="006256DA" w:rsidP="00B9007E">
      <w:pPr>
        <w:pStyle w:val="NoSpacing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Introduction:</w:t>
      </w:r>
    </w:p>
    <w:p w:rsidR="00B9007E" w:rsidRPr="00B9007E" w:rsidRDefault="00B9007E" w:rsidP="00B9007E">
      <w:pPr>
        <w:pStyle w:val="NoSpacing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This motion was originally drafted as a proposal, presented, and passed by the Board of Directors on Feb. 8, 2016.</w:t>
      </w:r>
      <w:r w:rsidR="006256D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 As per </w:t>
      </w:r>
      <w:r w:rsidR="00A729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Section 4.1</w:t>
      </w:r>
      <w:r w:rsidR="006256D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in the SLA </w:t>
      </w:r>
      <w:r w:rsidR="00A729E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Articles of Continuance and Bylaws (2015)</w:t>
      </w:r>
      <w:r w:rsidR="006256D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the motion is being presented to the membership ahead of the upcoming Annual General Meeting.  All voting members of SLA are encouraged to read the background information</w:t>
      </w:r>
      <w:r w:rsidR="00DE6F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below about the motion</w:t>
      </w:r>
      <w:r w:rsidR="006256D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B9007E" w:rsidRDefault="00B9007E" w:rsidP="00022CF0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5F4C48" w:rsidRPr="005B45EF" w:rsidRDefault="000526A7" w:rsidP="005F4C48">
      <w:pPr>
        <w:pStyle w:val="NoSpacing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 w:rsidR="005F4C48" w:rsidRPr="005B45EF">
        <w:rPr>
          <w:b/>
          <w:sz w:val="24"/>
          <w:szCs w:val="24"/>
        </w:rPr>
        <w:t>:</w:t>
      </w:r>
    </w:p>
    <w:p w:rsidR="008273A1" w:rsidRPr="008712DD" w:rsidRDefault="005F4C48" w:rsidP="005F4C48">
      <w:pPr>
        <w:pStyle w:val="NoSpacing"/>
        <w:ind w:left="360"/>
        <w:jc w:val="left"/>
        <w:rPr>
          <w:color w:val="FF0000"/>
          <w:sz w:val="24"/>
          <w:szCs w:val="24"/>
        </w:rPr>
      </w:pPr>
      <w:r w:rsidRPr="005B45EF">
        <w:rPr>
          <w:b/>
          <w:sz w:val="24"/>
          <w:szCs w:val="24"/>
        </w:rPr>
        <w:t>T</w:t>
      </w:r>
      <w:r w:rsidR="000526A7">
        <w:rPr>
          <w:b/>
          <w:sz w:val="24"/>
          <w:szCs w:val="24"/>
        </w:rPr>
        <w:t xml:space="preserve">hat SLA </w:t>
      </w:r>
      <w:r w:rsidR="00DA024A">
        <w:rPr>
          <w:b/>
          <w:sz w:val="24"/>
          <w:szCs w:val="24"/>
        </w:rPr>
        <w:t>A</w:t>
      </w:r>
      <w:r w:rsidR="008273A1" w:rsidRPr="005B45EF">
        <w:rPr>
          <w:b/>
          <w:sz w:val="24"/>
          <w:szCs w:val="24"/>
        </w:rPr>
        <w:t xml:space="preserve">djust </w:t>
      </w:r>
      <w:r w:rsidR="00C447CA" w:rsidRPr="005B45EF">
        <w:rPr>
          <w:b/>
          <w:sz w:val="24"/>
          <w:szCs w:val="24"/>
        </w:rPr>
        <w:t xml:space="preserve">Salary </w:t>
      </w:r>
      <w:r w:rsidR="008273A1" w:rsidRPr="005B45EF">
        <w:rPr>
          <w:b/>
          <w:sz w:val="24"/>
          <w:szCs w:val="24"/>
        </w:rPr>
        <w:t>Range</w:t>
      </w:r>
      <w:r w:rsidR="00512B3B" w:rsidRPr="005B45EF">
        <w:rPr>
          <w:b/>
          <w:sz w:val="24"/>
          <w:szCs w:val="24"/>
        </w:rPr>
        <w:t xml:space="preserve"> Bracket</w:t>
      </w:r>
      <w:r w:rsidR="008273A1" w:rsidRPr="005B45EF">
        <w:rPr>
          <w:b/>
          <w:sz w:val="24"/>
          <w:szCs w:val="24"/>
        </w:rPr>
        <w:t>s</w:t>
      </w:r>
      <w:r w:rsidR="00C447CA" w:rsidRPr="005B45EF">
        <w:rPr>
          <w:b/>
          <w:sz w:val="24"/>
          <w:szCs w:val="24"/>
        </w:rPr>
        <w:t xml:space="preserve"> in all Individual Membership Categories and Increase all Individual Membership Fees by $5.00</w:t>
      </w:r>
      <w:r w:rsidR="00DA024A">
        <w:rPr>
          <w:b/>
          <w:sz w:val="24"/>
          <w:szCs w:val="24"/>
        </w:rPr>
        <w:t xml:space="preserve"> Ef</w:t>
      </w:r>
      <w:r w:rsidR="00FA5859" w:rsidRPr="005B45EF">
        <w:rPr>
          <w:b/>
          <w:sz w:val="24"/>
          <w:szCs w:val="24"/>
        </w:rPr>
        <w:t>fective July 1, 2016</w:t>
      </w:r>
      <w:r w:rsidR="008712DD">
        <w:rPr>
          <w:b/>
          <w:sz w:val="24"/>
          <w:szCs w:val="24"/>
        </w:rPr>
        <w:t xml:space="preserve">.  </w:t>
      </w:r>
    </w:p>
    <w:p w:rsidR="0074632F" w:rsidRDefault="0074632F" w:rsidP="00A9392D">
      <w:pPr>
        <w:pStyle w:val="NoSpacing"/>
        <w:jc w:val="left"/>
        <w:rPr>
          <w:b/>
          <w:sz w:val="24"/>
          <w:szCs w:val="24"/>
        </w:rPr>
      </w:pPr>
    </w:p>
    <w:p w:rsidR="00A9392D" w:rsidRPr="00A9392D" w:rsidRDefault="00107082" w:rsidP="00A9392D">
      <w:pPr>
        <w:pStyle w:val="NoSpacing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  <w:r w:rsidR="00C447CA">
        <w:rPr>
          <w:b/>
          <w:sz w:val="24"/>
          <w:szCs w:val="24"/>
        </w:rPr>
        <w:t xml:space="preserve"> to adjust</w:t>
      </w:r>
      <w:r w:rsidR="0074632F">
        <w:rPr>
          <w:b/>
          <w:sz w:val="24"/>
          <w:szCs w:val="24"/>
        </w:rPr>
        <w:t xml:space="preserve"> all </w:t>
      </w:r>
      <w:r w:rsidR="00C447CA">
        <w:rPr>
          <w:b/>
          <w:sz w:val="24"/>
          <w:szCs w:val="24"/>
        </w:rPr>
        <w:t xml:space="preserve">individual </w:t>
      </w:r>
      <w:r w:rsidR="0074632F">
        <w:rPr>
          <w:b/>
          <w:sz w:val="24"/>
          <w:szCs w:val="24"/>
        </w:rPr>
        <w:t xml:space="preserve">membership </w:t>
      </w:r>
      <w:r w:rsidR="00C447CA">
        <w:rPr>
          <w:b/>
          <w:sz w:val="24"/>
          <w:szCs w:val="24"/>
        </w:rPr>
        <w:t>salary range brackets</w:t>
      </w:r>
      <w:r>
        <w:rPr>
          <w:b/>
          <w:sz w:val="24"/>
          <w:szCs w:val="24"/>
        </w:rPr>
        <w:t>:</w:t>
      </w:r>
    </w:p>
    <w:p w:rsidR="00A9392D" w:rsidRPr="00A9392D" w:rsidRDefault="00A9392D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SLA has had the same salary range</w:t>
      </w:r>
      <w:r w:rsidR="00107082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brackets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for approximately 20 years, with no cost of living adjustment – we have a situation of membership fee ‘bracket creep’</w:t>
      </w:r>
    </w:p>
    <w:p w:rsidR="00A9392D" w:rsidRPr="00A9392D" w:rsidRDefault="003B7816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‘B</w:t>
      </w:r>
      <w:r w:rsidR="00ED3E4B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racket creep’ means that l</w:t>
      </w:r>
      <w:r w:rsidR="00A939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ibrary workers starting out in their first job may find themselves in the SLA salary range that was once meant for mid-career library workers</w:t>
      </w:r>
    </w:p>
    <w:p w:rsidR="00A9392D" w:rsidRPr="00910D58" w:rsidRDefault="00A9392D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SLA would like its fees to be accessible to all library workers in Saskatchewan</w:t>
      </w:r>
      <w:r w:rsidR="00910D5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including first-time members</w:t>
      </w:r>
    </w:p>
    <w:p w:rsidR="00910D58" w:rsidRPr="00910D58" w:rsidRDefault="00910D58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Adjusting salary ranges, as proposed below, would result in many current members experiencing a fee reduction</w:t>
      </w:r>
    </w:p>
    <w:p w:rsidR="008273A1" w:rsidRPr="001C519B" w:rsidRDefault="008273A1" w:rsidP="006744F4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 w:rsidRPr="008273A1">
        <w:rPr>
          <w:sz w:val="24"/>
          <w:szCs w:val="24"/>
        </w:rPr>
        <w:t>The SLA Vice-President of Membership and Publications conducted an environmental scan of entry level salaries for librarians and library technicians in Saskatchewan. Data was collected in summer 2015, from four library types: post-secondary; public; school; special.  The a</w:t>
      </w:r>
      <w:r w:rsidRPr="008273A1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verage entry level librarian salary is $56,300.  The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</w:t>
      </w:r>
      <w:r w:rsidRPr="008273A1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verage entry level library technician salary is $38,300</w:t>
      </w:r>
    </w:p>
    <w:p w:rsidR="008712DD" w:rsidRDefault="008712DD" w:rsidP="00910D58">
      <w:pPr>
        <w:pStyle w:val="NoSpacing"/>
        <w:jc w:val="left"/>
        <w:rPr>
          <w:b/>
          <w:sz w:val="24"/>
          <w:szCs w:val="24"/>
        </w:rPr>
      </w:pPr>
    </w:p>
    <w:p w:rsidR="00910D58" w:rsidRPr="00910D58" w:rsidRDefault="00107082" w:rsidP="00910D58">
      <w:pPr>
        <w:pStyle w:val="NoSpacing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  <w:r w:rsidR="00C447CA">
        <w:rPr>
          <w:b/>
          <w:sz w:val="24"/>
          <w:szCs w:val="24"/>
        </w:rPr>
        <w:t xml:space="preserve"> to increase </w:t>
      </w:r>
      <w:r w:rsidR="0074632F">
        <w:rPr>
          <w:b/>
          <w:sz w:val="24"/>
          <w:szCs w:val="24"/>
        </w:rPr>
        <w:t xml:space="preserve">all </w:t>
      </w:r>
      <w:r w:rsidR="00C447CA">
        <w:rPr>
          <w:b/>
          <w:sz w:val="24"/>
          <w:szCs w:val="24"/>
        </w:rPr>
        <w:t>individual membership fees</w:t>
      </w:r>
      <w:r>
        <w:rPr>
          <w:b/>
          <w:sz w:val="24"/>
          <w:szCs w:val="24"/>
        </w:rPr>
        <w:t>:</w:t>
      </w:r>
    </w:p>
    <w:p w:rsidR="00A9392D" w:rsidRPr="00A9392D" w:rsidRDefault="00910D58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There have been f</w:t>
      </w:r>
      <w:r w:rsidR="00A9392D" w:rsidRPr="00A939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ew, if any, increases to individual membership rates in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the last</w:t>
      </w:r>
      <w:r w:rsidR="00A9392D" w:rsidRPr="00A939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20 years</w:t>
      </w:r>
    </w:p>
    <w:p w:rsidR="00910D58" w:rsidRPr="008273A1" w:rsidRDefault="00910D58" w:rsidP="00A9392D">
      <w:pPr>
        <w:pStyle w:val="NoSpacing"/>
        <w:numPr>
          <w:ilvl w:val="0"/>
          <w:numId w:val="6"/>
        </w:numPr>
        <w:jc w:val="left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The </w:t>
      </w:r>
      <w:r w:rsidR="00A9392D"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$5 increase would help offset </w:t>
      </w: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a </w:t>
      </w:r>
      <w:r w:rsidR="00A9392D" w:rsidRPr="008273A1">
        <w:rPr>
          <w:rFonts w:ascii="Calibri" w:eastAsia="Times New Roman" w:hAnsi="Calibri" w:cs="Times New Roman"/>
          <w:sz w:val="24"/>
          <w:szCs w:val="24"/>
          <w:lang w:eastAsia="en-CA"/>
        </w:rPr>
        <w:t>possible reduction of membership revenue</w:t>
      </w: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from the adjustment of salary ranges</w:t>
      </w:r>
    </w:p>
    <w:p w:rsidR="00A9392D" w:rsidRPr="00910D58" w:rsidRDefault="00910D58" w:rsidP="006744F4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The $5 increase would also help to </w:t>
      </w:r>
      <w:r w:rsidR="00A9392D"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offset </w:t>
      </w: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the </w:t>
      </w:r>
      <w:r w:rsidR="00A9392D"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cost of the proposed </w:t>
      </w:r>
      <w:r w:rsidRPr="008273A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national federation </w:t>
      </w:r>
      <w:r w:rsidR="00A7160D">
        <w:rPr>
          <w:rFonts w:ascii="Calibri" w:eastAsia="Times New Roman" w:hAnsi="Calibri" w:cs="Times New Roman"/>
          <w:sz w:val="24"/>
          <w:szCs w:val="24"/>
          <w:lang w:eastAsia="en-CA"/>
        </w:rPr>
        <w:t xml:space="preserve">of library associations </w:t>
      </w:r>
      <w:r w:rsidR="00A9392D" w:rsidRPr="00910D5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levy of 1% of total operating budget (SLA would need 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contribute a</w:t>
      </w:r>
      <w:r w:rsidR="00A9392D" w:rsidRPr="00910D5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pproximately $2500)</w:t>
      </w:r>
    </w:p>
    <w:p w:rsidR="00A9392D" w:rsidRPr="00B47398" w:rsidRDefault="00910D58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If a new national federation that includes SLA is built, an individual </w:t>
      </w:r>
      <w:r w:rsidR="004B580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SLA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membership fee will provide access to both the provincial and national associations</w:t>
      </w:r>
      <w:r w:rsidR="004B580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(more value for a single membership)</w:t>
      </w:r>
    </w:p>
    <w:p w:rsidR="00CE28C9" w:rsidRDefault="00FA5859" w:rsidP="00A9392D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Both proposals are combined into one motion because revenue would be lost if salary range brackets were adjusted but membership fees were not increased.  </w:t>
      </w:r>
      <w:r w:rsidR="00E34D3A">
        <w:rPr>
          <w:sz w:val="24"/>
          <w:szCs w:val="24"/>
        </w:rPr>
        <w:t>The two are contingent on each other in order to pass.</w:t>
      </w:r>
    </w:p>
    <w:p w:rsidR="00A729EC" w:rsidRDefault="00A729EC" w:rsidP="00A729EC">
      <w:pPr>
        <w:pStyle w:val="NoSpacing"/>
        <w:ind w:left="720"/>
        <w:jc w:val="left"/>
        <w:rPr>
          <w:sz w:val="24"/>
          <w:szCs w:val="24"/>
        </w:rPr>
      </w:pPr>
    </w:p>
    <w:p w:rsidR="0074632F" w:rsidRDefault="00AB417C" w:rsidP="0074632F">
      <w:pPr>
        <w:pStyle w:val="NoSpacing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Illustrations about </w:t>
      </w:r>
      <w:r w:rsidR="00DA024A">
        <w:rPr>
          <w:b/>
          <w:sz w:val="24"/>
          <w:szCs w:val="24"/>
        </w:rPr>
        <w:t>Motion That SLA A</w:t>
      </w:r>
      <w:r w:rsidR="0074632F">
        <w:rPr>
          <w:b/>
          <w:sz w:val="24"/>
          <w:szCs w:val="24"/>
        </w:rPr>
        <w:t xml:space="preserve">djust Salary Range Brackets in </w:t>
      </w:r>
      <w:r w:rsidR="009A5C6B">
        <w:rPr>
          <w:b/>
          <w:sz w:val="24"/>
          <w:szCs w:val="24"/>
        </w:rPr>
        <w:t>a</w:t>
      </w:r>
      <w:r w:rsidR="0074632F">
        <w:rPr>
          <w:b/>
          <w:sz w:val="24"/>
          <w:szCs w:val="24"/>
        </w:rPr>
        <w:t xml:space="preserve">ll </w:t>
      </w:r>
      <w:r w:rsidR="009A5C6B">
        <w:rPr>
          <w:b/>
          <w:sz w:val="24"/>
          <w:szCs w:val="24"/>
        </w:rPr>
        <w:t xml:space="preserve">Individual </w:t>
      </w:r>
      <w:r w:rsidR="0074632F">
        <w:rPr>
          <w:b/>
          <w:sz w:val="24"/>
          <w:szCs w:val="24"/>
        </w:rPr>
        <w:t>Memb</w:t>
      </w:r>
      <w:r w:rsidR="009A5C6B">
        <w:rPr>
          <w:b/>
          <w:sz w:val="24"/>
          <w:szCs w:val="24"/>
        </w:rPr>
        <w:t>ership Categories and Increase a</w:t>
      </w:r>
      <w:r w:rsidR="0074632F">
        <w:rPr>
          <w:b/>
          <w:sz w:val="24"/>
          <w:szCs w:val="24"/>
        </w:rPr>
        <w:t>ll Individual Membership Fees by $5.00</w:t>
      </w:r>
      <w:r w:rsidR="00E34D3A">
        <w:rPr>
          <w:b/>
          <w:sz w:val="24"/>
          <w:szCs w:val="24"/>
        </w:rPr>
        <w:t xml:space="preserve"> effective July 1, 2016</w:t>
      </w:r>
    </w:p>
    <w:p w:rsidR="0074632F" w:rsidRDefault="0074632F" w:rsidP="0074632F">
      <w:pPr>
        <w:pStyle w:val="NoSpacing"/>
        <w:jc w:val="left"/>
        <w:rPr>
          <w:b/>
          <w:sz w:val="24"/>
          <w:szCs w:val="24"/>
        </w:rPr>
      </w:pP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  <w:r w:rsidRPr="00A9392D">
        <w:rPr>
          <w:sz w:val="24"/>
          <w:szCs w:val="24"/>
        </w:rPr>
        <w:t xml:space="preserve">To </w:t>
      </w:r>
      <w:r>
        <w:rPr>
          <w:sz w:val="24"/>
          <w:szCs w:val="24"/>
        </w:rPr>
        <w:t>revise the four SLA individual membership</w:t>
      </w:r>
      <w:r w:rsidRPr="00A9392D">
        <w:rPr>
          <w:sz w:val="24"/>
          <w:szCs w:val="24"/>
        </w:rPr>
        <w:t xml:space="preserve"> salary range brackets</w:t>
      </w:r>
      <w:r>
        <w:rPr>
          <w:sz w:val="24"/>
          <w:szCs w:val="24"/>
        </w:rPr>
        <w:t>, so that they are:</w:t>
      </w: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1-up to $39999</w:t>
      </w:r>
      <w:r w:rsidR="00AB417C">
        <w:rPr>
          <w:sz w:val="24"/>
          <w:szCs w:val="24"/>
        </w:rPr>
        <w:t xml:space="preserve"> ($35)</w:t>
      </w:r>
      <w:r>
        <w:rPr>
          <w:sz w:val="24"/>
          <w:szCs w:val="24"/>
        </w:rPr>
        <w:t>;</w:t>
      </w: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2-</w:t>
      </w:r>
      <w:r w:rsidRPr="00A9392D">
        <w:rPr>
          <w:sz w:val="24"/>
          <w:szCs w:val="24"/>
        </w:rPr>
        <w:t>$40000-$59999</w:t>
      </w:r>
      <w:r w:rsidR="00AB417C">
        <w:rPr>
          <w:sz w:val="24"/>
          <w:szCs w:val="24"/>
        </w:rPr>
        <w:t xml:space="preserve"> ($65)</w:t>
      </w:r>
      <w:r w:rsidRPr="00A9392D">
        <w:rPr>
          <w:sz w:val="24"/>
          <w:szCs w:val="24"/>
        </w:rPr>
        <w:t xml:space="preserve">; </w:t>
      </w: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3-</w:t>
      </w:r>
      <w:r w:rsidRPr="00A9392D">
        <w:rPr>
          <w:sz w:val="24"/>
          <w:szCs w:val="24"/>
        </w:rPr>
        <w:t>$60000-$89999</w:t>
      </w:r>
      <w:r w:rsidR="00AB417C">
        <w:rPr>
          <w:sz w:val="24"/>
          <w:szCs w:val="24"/>
        </w:rPr>
        <w:t xml:space="preserve"> ($95)</w:t>
      </w:r>
      <w:r w:rsidRPr="00A9392D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4-</w:t>
      </w:r>
      <w:r w:rsidRPr="00A9392D">
        <w:rPr>
          <w:sz w:val="24"/>
          <w:szCs w:val="24"/>
        </w:rPr>
        <w:t>$90000 and up</w:t>
      </w:r>
      <w:r w:rsidR="00AB417C">
        <w:rPr>
          <w:sz w:val="24"/>
          <w:szCs w:val="24"/>
        </w:rPr>
        <w:t xml:space="preserve"> ($125)</w:t>
      </w:r>
      <w:r w:rsidRPr="00A9392D">
        <w:rPr>
          <w:sz w:val="24"/>
          <w:szCs w:val="24"/>
        </w:rPr>
        <w:t xml:space="preserve">.  </w:t>
      </w:r>
    </w:p>
    <w:p w:rsidR="0074632F" w:rsidRDefault="0074632F" w:rsidP="0074632F">
      <w:pPr>
        <w:pStyle w:val="NoSpacing"/>
        <w:jc w:val="left"/>
        <w:rPr>
          <w:sz w:val="24"/>
          <w:szCs w:val="24"/>
        </w:rPr>
      </w:pP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To increase membership fees in all </w:t>
      </w:r>
      <w:r w:rsidR="002811F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SLA individual membership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categories by $5.00, so that they are: </w:t>
      </w: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1-$20</w:t>
      </w:r>
      <w:r w:rsidR="00AB41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(Student and Non-Salaried)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;</w:t>
      </w: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2-$35</w:t>
      </w:r>
      <w:r w:rsidR="00AB41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</w:t>
      </w:r>
      <w:r w:rsidR="00AB417C">
        <w:rPr>
          <w:sz w:val="24"/>
          <w:szCs w:val="24"/>
        </w:rPr>
        <w:t>up to $39999)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;</w:t>
      </w: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3-$65</w:t>
      </w:r>
      <w:r w:rsidR="00AB41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</w:t>
      </w:r>
      <w:r w:rsidR="00AB417C" w:rsidRPr="00A9392D">
        <w:rPr>
          <w:sz w:val="24"/>
          <w:szCs w:val="24"/>
        </w:rPr>
        <w:t>40000-$59999</w:t>
      </w:r>
      <w:r w:rsidR="00AB417C">
        <w:rPr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; </w:t>
      </w: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4-$95</w:t>
      </w:r>
      <w:r w:rsidR="00AB41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</w:t>
      </w:r>
      <w:r w:rsidR="00AB417C" w:rsidRPr="00A9392D">
        <w:rPr>
          <w:sz w:val="24"/>
          <w:szCs w:val="24"/>
        </w:rPr>
        <w:t>$60000-$89999</w:t>
      </w:r>
      <w:r w:rsidR="00AB417C">
        <w:rPr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; and</w:t>
      </w:r>
    </w:p>
    <w:p w:rsidR="0074632F" w:rsidRDefault="0074632F" w:rsidP="0074632F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5-$125</w:t>
      </w:r>
      <w:r w:rsidR="00AB417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(</w:t>
      </w:r>
      <w:r w:rsidR="00AB417C" w:rsidRPr="00A9392D">
        <w:rPr>
          <w:sz w:val="24"/>
          <w:szCs w:val="24"/>
        </w:rPr>
        <w:t>$90000 and up</w:t>
      </w:r>
      <w:r w:rsidR="00AB417C">
        <w:rPr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74632F" w:rsidRDefault="0074632F" w:rsidP="00735E4E">
      <w:pPr>
        <w:pStyle w:val="NoSpacing"/>
        <w:ind w:left="36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p w:rsidR="005F4C48" w:rsidRDefault="005F4C48" w:rsidP="00735E4E">
      <w:pPr>
        <w:pStyle w:val="NoSpacing"/>
        <w:ind w:left="36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p w:rsidR="00735E4E" w:rsidRDefault="00735E4E" w:rsidP="006256DA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 xml:space="preserve">Individual Membership Salary Range Brackets, </w:t>
      </w:r>
      <w:r w:rsidR="00C57C83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F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ees and revenue</w:t>
      </w:r>
      <w:r>
        <w:rPr>
          <w:b/>
          <w:sz w:val="24"/>
          <w:szCs w:val="24"/>
        </w:rPr>
        <w:t xml:space="preserve"> (</w:t>
      </w:r>
      <w:r w:rsidR="00C13BE9">
        <w:rPr>
          <w:b/>
          <w:sz w:val="24"/>
          <w:szCs w:val="24"/>
        </w:rPr>
        <w:t>Sept</w:t>
      </w:r>
      <w:r w:rsidR="00C57C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2015)</w:t>
      </w:r>
    </w:p>
    <w:p w:rsidR="006256DA" w:rsidRPr="00735E4E" w:rsidRDefault="006256DA" w:rsidP="00735E4E">
      <w:pPr>
        <w:pStyle w:val="NoSpacing"/>
        <w:ind w:left="36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004"/>
        <w:gridCol w:w="1083"/>
        <w:gridCol w:w="1166"/>
        <w:gridCol w:w="1222"/>
        <w:gridCol w:w="1222"/>
        <w:gridCol w:w="1166"/>
        <w:gridCol w:w="1045"/>
      </w:tblGrid>
      <w:tr w:rsidR="00735E4E" w:rsidRPr="00A9392D" w:rsidTr="00ED3B18">
        <w:tc>
          <w:tcPr>
            <w:tcW w:w="1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Salary Range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35E4E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Non-Salaried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up to $24999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$25000-$49999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$50000-$74999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$75000 and up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Total</w:t>
            </w:r>
          </w:p>
        </w:tc>
      </w:tr>
      <w:tr w:rsidR="00735E4E" w:rsidRPr="00A9392D" w:rsidTr="00ED3B18">
        <w:tc>
          <w:tcPr>
            <w:tcW w:w="14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004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1096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</w:p>
        </w:tc>
      </w:tr>
      <w:tr w:rsidR="00735E4E" w:rsidRPr="00A9392D" w:rsidTr="00ED3B18">
        <w:tc>
          <w:tcPr>
            <w:tcW w:w="14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Number of members</w:t>
            </w:r>
          </w:p>
        </w:tc>
        <w:tc>
          <w:tcPr>
            <w:tcW w:w="1004" w:type="dxa"/>
          </w:tcPr>
          <w:p w:rsidR="00735E4E" w:rsidRPr="00A9392D" w:rsidRDefault="00735E4E" w:rsidP="00ED3B1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735E4E" w:rsidRPr="00A9392D" w:rsidRDefault="00735E4E" w:rsidP="00ED3B1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40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39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735E4E" w:rsidRPr="00A9392D" w:rsidTr="00ED3B18">
        <w:tc>
          <w:tcPr>
            <w:tcW w:w="14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Percentage</w:t>
            </w:r>
            <w:r>
              <w:rPr>
                <w:b/>
                <w:sz w:val="24"/>
                <w:szCs w:val="24"/>
              </w:rPr>
              <w:t xml:space="preserve"> of members</w:t>
            </w:r>
          </w:p>
        </w:tc>
        <w:tc>
          <w:tcPr>
            <w:tcW w:w="1004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9.5%</w:t>
            </w:r>
          </w:p>
        </w:tc>
        <w:tc>
          <w:tcPr>
            <w:tcW w:w="1096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7.3 %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A9392D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  <w:r w:rsidRPr="00A9392D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  <w:r w:rsidRPr="00A9392D">
              <w:rPr>
                <w:sz w:val="24"/>
                <w:szCs w:val="24"/>
              </w:rPr>
              <w:t>%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  <w:r w:rsidRPr="00A9392D">
              <w:rPr>
                <w:sz w:val="24"/>
                <w:szCs w:val="24"/>
              </w:rPr>
              <w:t>%</w:t>
            </w:r>
          </w:p>
        </w:tc>
        <w:tc>
          <w:tcPr>
            <w:tcW w:w="1065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99.9%</w:t>
            </w:r>
          </w:p>
        </w:tc>
      </w:tr>
      <w:tr w:rsidR="00C13BE9" w:rsidRPr="00A9392D" w:rsidTr="00ED3B18">
        <w:tc>
          <w:tcPr>
            <w:tcW w:w="1463" w:type="dxa"/>
            <w:shd w:val="clear" w:color="auto" w:fill="D9D9D9" w:themeFill="background1" w:themeFillShade="D9"/>
          </w:tcPr>
          <w:p w:rsidR="00C13BE9" w:rsidRPr="00A9392D" w:rsidRDefault="00C13BE9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Revenue</w:t>
            </w:r>
          </w:p>
        </w:tc>
        <w:tc>
          <w:tcPr>
            <w:tcW w:w="1004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$195</w:t>
            </w:r>
          </w:p>
        </w:tc>
        <w:tc>
          <w:tcPr>
            <w:tcW w:w="1096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211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263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$2340</w:t>
            </w:r>
          </w:p>
        </w:tc>
        <w:tc>
          <w:tcPr>
            <w:tcW w:w="1263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$3600</w:t>
            </w:r>
          </w:p>
        </w:tc>
        <w:tc>
          <w:tcPr>
            <w:tcW w:w="1211" w:type="dxa"/>
          </w:tcPr>
          <w:p w:rsidR="00C13BE9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$3600</w:t>
            </w:r>
          </w:p>
        </w:tc>
        <w:tc>
          <w:tcPr>
            <w:tcW w:w="1065" w:type="dxa"/>
          </w:tcPr>
          <w:p w:rsidR="00C13BE9" w:rsidRPr="00A9392D" w:rsidRDefault="00C13BE9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$10000</w:t>
            </w:r>
          </w:p>
        </w:tc>
      </w:tr>
    </w:tbl>
    <w:p w:rsidR="00735E4E" w:rsidRDefault="00735E4E" w:rsidP="004B5800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735E4E" w:rsidRDefault="00735E4E" w:rsidP="00AA43C9">
      <w:pPr>
        <w:pStyle w:val="NoSpacing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6256DA" w:rsidRDefault="00CD4831" w:rsidP="00CD4831">
      <w:pPr>
        <w:pStyle w:val="NoSpacing"/>
        <w:ind w:left="36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Proposed Individual M</w:t>
      </w:r>
      <w:r w:rsidR="00F8190E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embership Salary Range Brackets and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 xml:space="preserve"> Fees </w:t>
      </w:r>
    </w:p>
    <w:p w:rsidR="00CD4831" w:rsidRPr="00735E4E" w:rsidRDefault="00CD4831" w:rsidP="00CD4831">
      <w:pPr>
        <w:pStyle w:val="NoSpacing"/>
        <w:ind w:left="36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004"/>
        <w:gridCol w:w="1088"/>
        <w:gridCol w:w="1182"/>
        <w:gridCol w:w="1236"/>
        <w:gridCol w:w="1236"/>
        <w:gridCol w:w="1182"/>
        <w:gridCol w:w="1028"/>
      </w:tblGrid>
      <w:tr w:rsidR="00735E4E" w:rsidRPr="00A9392D" w:rsidTr="00ED3B18">
        <w:tc>
          <w:tcPr>
            <w:tcW w:w="1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Salary Range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35E4E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Non-Salaried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up to $39999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$40000-$59999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$60000-$89999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$90000 and up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Total</w:t>
            </w:r>
          </w:p>
        </w:tc>
      </w:tr>
      <w:tr w:rsidR="00735E4E" w:rsidRPr="00A9392D" w:rsidTr="00ED3B18">
        <w:tc>
          <w:tcPr>
            <w:tcW w:w="1463" w:type="dxa"/>
            <w:shd w:val="clear" w:color="auto" w:fill="D9D9D9" w:themeFill="background1" w:themeFillShade="D9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  <w:r w:rsidRPr="00A9392D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004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096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735E4E" w:rsidRPr="00A9392D" w:rsidRDefault="00735E4E" w:rsidP="00ED3B18">
            <w:pPr>
              <w:pStyle w:val="NoSpacing"/>
              <w:jc w:val="left"/>
              <w:rPr>
                <w:sz w:val="24"/>
                <w:szCs w:val="24"/>
              </w:rPr>
            </w:pPr>
            <w:r w:rsidRPr="00A9392D">
              <w:rPr>
                <w:sz w:val="24"/>
                <w:szCs w:val="24"/>
              </w:rPr>
              <w:t>$12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35E4E" w:rsidRPr="00A9392D" w:rsidRDefault="00735E4E" w:rsidP="00ED3B18">
            <w:pPr>
              <w:pStyle w:val="NoSpacing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5F4C48" w:rsidRDefault="005F4C48" w:rsidP="004B5800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5F4C48" w:rsidRDefault="005F4C48" w:rsidP="004B5800">
      <w:pPr>
        <w:pStyle w:val="NoSpacing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sectPr w:rsidR="005F4C48" w:rsidSect="00453F8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CA" w:rsidRDefault="009C70CA" w:rsidP="006F521E">
      <w:r>
        <w:separator/>
      </w:r>
    </w:p>
  </w:endnote>
  <w:endnote w:type="continuationSeparator" w:id="0">
    <w:p w:rsidR="009C70CA" w:rsidRDefault="009C70CA" w:rsidP="006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793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F784C" w:rsidRDefault="005F784C">
            <w:pPr>
              <w:pStyle w:val="Footer"/>
              <w:jc w:val="center"/>
            </w:pPr>
            <w:r>
              <w:t xml:space="preserve">Page </w:t>
            </w:r>
            <w:r w:rsidR="00513E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3E82">
              <w:rPr>
                <w:b/>
                <w:sz w:val="24"/>
                <w:szCs w:val="24"/>
              </w:rPr>
              <w:fldChar w:fldCharType="separate"/>
            </w:r>
            <w:r w:rsidR="00AA43C9">
              <w:rPr>
                <w:b/>
                <w:noProof/>
              </w:rPr>
              <w:t>2</w:t>
            </w:r>
            <w:r w:rsidR="00513E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E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3E82">
              <w:rPr>
                <w:b/>
                <w:sz w:val="24"/>
                <w:szCs w:val="24"/>
              </w:rPr>
              <w:fldChar w:fldCharType="separate"/>
            </w:r>
            <w:r w:rsidR="00AA43C9">
              <w:rPr>
                <w:b/>
                <w:noProof/>
              </w:rPr>
              <w:t>2</w:t>
            </w:r>
            <w:r w:rsidR="00513E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84C" w:rsidRDefault="005F7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CA" w:rsidRDefault="009C70CA" w:rsidP="006F521E">
      <w:r>
        <w:separator/>
      </w:r>
    </w:p>
  </w:footnote>
  <w:footnote w:type="continuationSeparator" w:id="0">
    <w:p w:rsidR="009C70CA" w:rsidRDefault="009C70CA" w:rsidP="006F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4C" w:rsidRDefault="005F7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1AF"/>
    <w:multiLevelType w:val="hybridMultilevel"/>
    <w:tmpl w:val="70D04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CA4"/>
    <w:multiLevelType w:val="hybridMultilevel"/>
    <w:tmpl w:val="9608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448"/>
    <w:multiLevelType w:val="hybridMultilevel"/>
    <w:tmpl w:val="CA4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7078"/>
    <w:multiLevelType w:val="hybridMultilevel"/>
    <w:tmpl w:val="F2A2B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5D4"/>
    <w:multiLevelType w:val="hybridMultilevel"/>
    <w:tmpl w:val="7122A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12FF"/>
    <w:multiLevelType w:val="hybridMultilevel"/>
    <w:tmpl w:val="04E6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07B47"/>
    <w:multiLevelType w:val="hybridMultilevel"/>
    <w:tmpl w:val="6248C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40E99"/>
    <w:multiLevelType w:val="hybridMultilevel"/>
    <w:tmpl w:val="674641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089"/>
    <w:multiLevelType w:val="hybridMultilevel"/>
    <w:tmpl w:val="CD2E0A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7"/>
    <w:rsid w:val="00003801"/>
    <w:rsid w:val="00022CF0"/>
    <w:rsid w:val="000526A7"/>
    <w:rsid w:val="000531B3"/>
    <w:rsid w:val="00055A14"/>
    <w:rsid w:val="000804B7"/>
    <w:rsid w:val="00091C29"/>
    <w:rsid w:val="000A3CF7"/>
    <w:rsid w:val="000A672B"/>
    <w:rsid w:val="000C68AB"/>
    <w:rsid w:val="000D11B9"/>
    <w:rsid w:val="000D4C9E"/>
    <w:rsid w:val="000E2CB1"/>
    <w:rsid w:val="00101E77"/>
    <w:rsid w:val="0010429E"/>
    <w:rsid w:val="00107082"/>
    <w:rsid w:val="00114332"/>
    <w:rsid w:val="00127DDB"/>
    <w:rsid w:val="0013385C"/>
    <w:rsid w:val="00142DFF"/>
    <w:rsid w:val="0014589D"/>
    <w:rsid w:val="00152F6D"/>
    <w:rsid w:val="00154783"/>
    <w:rsid w:val="00154CB0"/>
    <w:rsid w:val="00165232"/>
    <w:rsid w:val="00167A0D"/>
    <w:rsid w:val="00196943"/>
    <w:rsid w:val="001A6C4A"/>
    <w:rsid w:val="001B1F8E"/>
    <w:rsid w:val="001C519B"/>
    <w:rsid w:val="001D6A69"/>
    <w:rsid w:val="00206A00"/>
    <w:rsid w:val="00227D6F"/>
    <w:rsid w:val="0023582A"/>
    <w:rsid w:val="002359EB"/>
    <w:rsid w:val="00250F7E"/>
    <w:rsid w:val="00257179"/>
    <w:rsid w:val="002636B2"/>
    <w:rsid w:val="00270641"/>
    <w:rsid w:val="00273400"/>
    <w:rsid w:val="002734E1"/>
    <w:rsid w:val="002811F7"/>
    <w:rsid w:val="002861AE"/>
    <w:rsid w:val="002D0298"/>
    <w:rsid w:val="002E3D7A"/>
    <w:rsid w:val="0032756A"/>
    <w:rsid w:val="003524E4"/>
    <w:rsid w:val="00371DC3"/>
    <w:rsid w:val="00381929"/>
    <w:rsid w:val="00384E99"/>
    <w:rsid w:val="00387114"/>
    <w:rsid w:val="00393526"/>
    <w:rsid w:val="00396491"/>
    <w:rsid w:val="003B7816"/>
    <w:rsid w:val="003D3652"/>
    <w:rsid w:val="003D70B0"/>
    <w:rsid w:val="003E078F"/>
    <w:rsid w:val="003F4ED5"/>
    <w:rsid w:val="003F625E"/>
    <w:rsid w:val="003F7937"/>
    <w:rsid w:val="004143CF"/>
    <w:rsid w:val="00437DA5"/>
    <w:rsid w:val="00453F8F"/>
    <w:rsid w:val="00461D1F"/>
    <w:rsid w:val="0046561D"/>
    <w:rsid w:val="00480B03"/>
    <w:rsid w:val="00492616"/>
    <w:rsid w:val="004A43A4"/>
    <w:rsid w:val="004B5800"/>
    <w:rsid w:val="004B7785"/>
    <w:rsid w:val="004D3871"/>
    <w:rsid w:val="004E3E3A"/>
    <w:rsid w:val="00502B0B"/>
    <w:rsid w:val="00512B3B"/>
    <w:rsid w:val="00513E82"/>
    <w:rsid w:val="00530E01"/>
    <w:rsid w:val="00534F67"/>
    <w:rsid w:val="005568A7"/>
    <w:rsid w:val="00570773"/>
    <w:rsid w:val="00587A1F"/>
    <w:rsid w:val="005A00FC"/>
    <w:rsid w:val="005B45EF"/>
    <w:rsid w:val="005B6724"/>
    <w:rsid w:val="005D1525"/>
    <w:rsid w:val="005D1E19"/>
    <w:rsid w:val="005D20B8"/>
    <w:rsid w:val="005E4CC5"/>
    <w:rsid w:val="005F4C48"/>
    <w:rsid w:val="005F784C"/>
    <w:rsid w:val="006043D1"/>
    <w:rsid w:val="00610F64"/>
    <w:rsid w:val="00623DA8"/>
    <w:rsid w:val="006256DA"/>
    <w:rsid w:val="00662B5B"/>
    <w:rsid w:val="006744F4"/>
    <w:rsid w:val="00677F16"/>
    <w:rsid w:val="00695CCB"/>
    <w:rsid w:val="006B2BCA"/>
    <w:rsid w:val="006D3A36"/>
    <w:rsid w:val="006F3A07"/>
    <w:rsid w:val="006F521E"/>
    <w:rsid w:val="007227B2"/>
    <w:rsid w:val="00726239"/>
    <w:rsid w:val="00726699"/>
    <w:rsid w:val="00735E4E"/>
    <w:rsid w:val="0074632F"/>
    <w:rsid w:val="00761FD4"/>
    <w:rsid w:val="007675DF"/>
    <w:rsid w:val="0077324D"/>
    <w:rsid w:val="007A71D5"/>
    <w:rsid w:val="007C4825"/>
    <w:rsid w:val="0080360C"/>
    <w:rsid w:val="008109F1"/>
    <w:rsid w:val="00815E49"/>
    <w:rsid w:val="00821C40"/>
    <w:rsid w:val="008273A1"/>
    <w:rsid w:val="00857DBC"/>
    <w:rsid w:val="00871176"/>
    <w:rsid w:val="008712DD"/>
    <w:rsid w:val="00872246"/>
    <w:rsid w:val="00874A54"/>
    <w:rsid w:val="00892E87"/>
    <w:rsid w:val="008C77B5"/>
    <w:rsid w:val="008D3265"/>
    <w:rsid w:val="008E00ED"/>
    <w:rsid w:val="008F2B35"/>
    <w:rsid w:val="00910D58"/>
    <w:rsid w:val="009132AC"/>
    <w:rsid w:val="00920644"/>
    <w:rsid w:val="00924883"/>
    <w:rsid w:val="009443F6"/>
    <w:rsid w:val="00975745"/>
    <w:rsid w:val="0099376B"/>
    <w:rsid w:val="009A5C6B"/>
    <w:rsid w:val="009C70CA"/>
    <w:rsid w:val="009E1E7E"/>
    <w:rsid w:val="009E5D26"/>
    <w:rsid w:val="009E7372"/>
    <w:rsid w:val="00A05F64"/>
    <w:rsid w:val="00A136D4"/>
    <w:rsid w:val="00A13A7E"/>
    <w:rsid w:val="00A14C9D"/>
    <w:rsid w:val="00A217F1"/>
    <w:rsid w:val="00A25074"/>
    <w:rsid w:val="00A5533A"/>
    <w:rsid w:val="00A64C6D"/>
    <w:rsid w:val="00A7160D"/>
    <w:rsid w:val="00A729EC"/>
    <w:rsid w:val="00A9392D"/>
    <w:rsid w:val="00A9523F"/>
    <w:rsid w:val="00AA43C9"/>
    <w:rsid w:val="00AA59DD"/>
    <w:rsid w:val="00AB079D"/>
    <w:rsid w:val="00AB417C"/>
    <w:rsid w:val="00AD31C6"/>
    <w:rsid w:val="00AE060C"/>
    <w:rsid w:val="00B11052"/>
    <w:rsid w:val="00B13AB9"/>
    <w:rsid w:val="00B424C7"/>
    <w:rsid w:val="00B47398"/>
    <w:rsid w:val="00B60B89"/>
    <w:rsid w:val="00B66510"/>
    <w:rsid w:val="00B75EAB"/>
    <w:rsid w:val="00B8427D"/>
    <w:rsid w:val="00B86B92"/>
    <w:rsid w:val="00B9007E"/>
    <w:rsid w:val="00BC74C4"/>
    <w:rsid w:val="00BE5E8D"/>
    <w:rsid w:val="00C0336D"/>
    <w:rsid w:val="00C13BE9"/>
    <w:rsid w:val="00C43178"/>
    <w:rsid w:val="00C43E7A"/>
    <w:rsid w:val="00C447CA"/>
    <w:rsid w:val="00C57C83"/>
    <w:rsid w:val="00C660FE"/>
    <w:rsid w:val="00C75966"/>
    <w:rsid w:val="00C803B9"/>
    <w:rsid w:val="00C82950"/>
    <w:rsid w:val="00C9263E"/>
    <w:rsid w:val="00CA2AE6"/>
    <w:rsid w:val="00CD4831"/>
    <w:rsid w:val="00CD754C"/>
    <w:rsid w:val="00CE28C9"/>
    <w:rsid w:val="00CF71D2"/>
    <w:rsid w:val="00D11123"/>
    <w:rsid w:val="00D1315A"/>
    <w:rsid w:val="00D30A1B"/>
    <w:rsid w:val="00D51E78"/>
    <w:rsid w:val="00D55835"/>
    <w:rsid w:val="00D654BF"/>
    <w:rsid w:val="00D66AD3"/>
    <w:rsid w:val="00D908EF"/>
    <w:rsid w:val="00DA00F0"/>
    <w:rsid w:val="00DA024A"/>
    <w:rsid w:val="00DB4C0B"/>
    <w:rsid w:val="00DE6F7C"/>
    <w:rsid w:val="00DF19F0"/>
    <w:rsid w:val="00DF6011"/>
    <w:rsid w:val="00DF737F"/>
    <w:rsid w:val="00E15085"/>
    <w:rsid w:val="00E200C1"/>
    <w:rsid w:val="00E227FC"/>
    <w:rsid w:val="00E31165"/>
    <w:rsid w:val="00E34D3A"/>
    <w:rsid w:val="00E51E33"/>
    <w:rsid w:val="00E65150"/>
    <w:rsid w:val="00E72391"/>
    <w:rsid w:val="00E75EA4"/>
    <w:rsid w:val="00E979EC"/>
    <w:rsid w:val="00EA1474"/>
    <w:rsid w:val="00EA3DA6"/>
    <w:rsid w:val="00EA65DF"/>
    <w:rsid w:val="00EA7E8D"/>
    <w:rsid w:val="00EB1584"/>
    <w:rsid w:val="00EC20B2"/>
    <w:rsid w:val="00EC65C4"/>
    <w:rsid w:val="00ED3B18"/>
    <w:rsid w:val="00ED3E4B"/>
    <w:rsid w:val="00F23065"/>
    <w:rsid w:val="00F4712B"/>
    <w:rsid w:val="00F60628"/>
    <w:rsid w:val="00F8190E"/>
    <w:rsid w:val="00F859DF"/>
    <w:rsid w:val="00F963C0"/>
    <w:rsid w:val="00FA24DA"/>
    <w:rsid w:val="00FA5859"/>
    <w:rsid w:val="00FB7279"/>
    <w:rsid w:val="00FC6BC7"/>
    <w:rsid w:val="00FD3E0C"/>
    <w:rsid w:val="00FE162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41E74-A969-419A-8366-563D97D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B9"/>
  </w:style>
  <w:style w:type="paragraph" w:styleId="Heading1">
    <w:name w:val="heading 1"/>
    <w:basedOn w:val="Normal"/>
    <w:next w:val="Normal"/>
    <w:link w:val="Heading1Char"/>
    <w:qFormat/>
    <w:rsid w:val="00055A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BC7"/>
  </w:style>
  <w:style w:type="table" w:styleId="TableGrid">
    <w:name w:val="Table Grid"/>
    <w:basedOn w:val="TableNormal"/>
    <w:uiPriority w:val="59"/>
    <w:rsid w:val="0027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5A14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21E"/>
  </w:style>
  <w:style w:type="paragraph" w:styleId="Footer">
    <w:name w:val="footer"/>
    <w:basedOn w:val="Normal"/>
    <w:link w:val="FooterChar"/>
    <w:uiPriority w:val="99"/>
    <w:unhideWhenUsed/>
    <w:rsid w:val="006F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1E"/>
  </w:style>
  <w:style w:type="paragraph" w:styleId="BalloonText">
    <w:name w:val="Balloon Text"/>
    <w:basedOn w:val="Normal"/>
    <w:link w:val="BalloonTextChar"/>
    <w:uiPriority w:val="99"/>
    <w:semiHidden/>
    <w:unhideWhenUsed/>
    <w:rsid w:val="00ED3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F701-BCAA-4720-8860-F82F1162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Dan Danforth</cp:lastModifiedBy>
  <cp:revision>2</cp:revision>
  <cp:lastPrinted>2016-01-18T16:11:00Z</cp:lastPrinted>
  <dcterms:created xsi:type="dcterms:W3CDTF">2016-03-15T22:12:00Z</dcterms:created>
  <dcterms:modified xsi:type="dcterms:W3CDTF">2016-03-15T22:12:00Z</dcterms:modified>
</cp:coreProperties>
</file>