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CC9" w:rsidRPr="009758DE" w:rsidRDefault="00DD5009" w:rsidP="009758DE">
      <w:pPr>
        <w:pStyle w:val="Default"/>
        <w:jc w:val="center"/>
        <w:rPr>
          <w:rFonts w:ascii="Times New Roman" w:hAnsi="Times New Roman" w:cs="Times New Roman"/>
        </w:rPr>
      </w:pPr>
      <w:r w:rsidRPr="009758DE">
        <w:rPr>
          <w:rFonts w:ascii="Times New Roman" w:hAnsi="Times New Roman" w:cs="Times New Roman"/>
        </w:rPr>
        <w:fldChar w:fldCharType="begin"/>
      </w:r>
      <w:r w:rsidR="000C3CC9" w:rsidRPr="009758DE">
        <w:rPr>
          <w:rFonts w:ascii="Times New Roman" w:hAnsi="Times New Roman" w:cs="Times New Roman"/>
        </w:rPr>
        <w:instrText xml:space="preserve"> DATE \@ "MMMM d, yyyy" </w:instrText>
      </w:r>
      <w:r w:rsidRPr="009758DE">
        <w:rPr>
          <w:rFonts w:ascii="Times New Roman" w:hAnsi="Times New Roman" w:cs="Times New Roman"/>
        </w:rPr>
        <w:fldChar w:fldCharType="separate"/>
      </w:r>
      <w:r w:rsidR="00B73EAE">
        <w:rPr>
          <w:rFonts w:ascii="Times New Roman" w:hAnsi="Times New Roman" w:cs="Times New Roman"/>
          <w:noProof/>
        </w:rPr>
        <w:t>July 30, 2015</w:t>
      </w:r>
      <w:r w:rsidRPr="009758DE">
        <w:rPr>
          <w:rFonts w:ascii="Times New Roman" w:hAnsi="Times New Roman" w:cs="Times New Roman"/>
        </w:rPr>
        <w:fldChar w:fldCharType="end"/>
      </w:r>
    </w:p>
    <w:p w:rsidR="000C3CC9" w:rsidRPr="009758DE" w:rsidRDefault="000C3CC9" w:rsidP="000C3CC9">
      <w:pPr>
        <w:pStyle w:val="Default"/>
        <w:rPr>
          <w:rFonts w:ascii="Times New Roman" w:hAnsi="Times New Roman" w:cs="Times New Roman"/>
        </w:rPr>
      </w:pPr>
    </w:p>
    <w:p w:rsidR="000C3CC9" w:rsidRPr="009758DE" w:rsidRDefault="000C3CC9" w:rsidP="00DA236E">
      <w:pPr>
        <w:pStyle w:val="Default"/>
        <w:jc w:val="both"/>
        <w:rPr>
          <w:rFonts w:ascii="Times New Roman" w:hAnsi="Times New Roman" w:cs="Times New Roman"/>
          <w:color w:val="0000FF"/>
        </w:rPr>
      </w:pPr>
      <w:r w:rsidRPr="009758DE">
        <w:rPr>
          <w:rFonts w:ascii="Times New Roman" w:hAnsi="Times New Roman" w:cs="Times New Roman"/>
          <w:i/>
          <w:iCs/>
        </w:rPr>
        <w:t xml:space="preserve">Submitted via </w:t>
      </w:r>
      <w:r w:rsidRPr="009758DE">
        <w:rPr>
          <w:rFonts w:ascii="Times New Roman" w:hAnsi="Times New Roman" w:cs="Times New Roman"/>
          <w:i/>
          <w:iCs/>
          <w:color w:val="0000FF"/>
        </w:rPr>
        <w:t xml:space="preserve">www.regulations.gov </w:t>
      </w:r>
    </w:p>
    <w:p w:rsidR="000C3CC9" w:rsidRPr="009758DE" w:rsidRDefault="000C3CC9" w:rsidP="00DA236E">
      <w:pPr>
        <w:pStyle w:val="Default"/>
        <w:jc w:val="both"/>
        <w:rPr>
          <w:rFonts w:ascii="Times New Roman" w:hAnsi="Times New Roman" w:cs="Times New Roman"/>
          <w:b/>
          <w:bCs/>
        </w:rPr>
      </w:pPr>
    </w:p>
    <w:p w:rsidR="000C3CC9" w:rsidRPr="009758DE" w:rsidRDefault="000C3CC9" w:rsidP="00DA236E">
      <w:pPr>
        <w:jc w:val="both"/>
        <w:rPr>
          <w:rFonts w:ascii="Times New Roman" w:hAnsi="Times New Roman"/>
          <w:sz w:val="24"/>
          <w:szCs w:val="24"/>
        </w:rPr>
      </w:pPr>
      <w:r w:rsidRPr="009758DE">
        <w:rPr>
          <w:rFonts w:ascii="Times New Roman" w:hAnsi="Times New Roman"/>
          <w:sz w:val="24"/>
          <w:szCs w:val="24"/>
        </w:rPr>
        <w:t>Centers for Medicare &amp; Medicaid Services</w:t>
      </w:r>
    </w:p>
    <w:p w:rsidR="000C3CC9" w:rsidRPr="009758DE" w:rsidRDefault="000C3CC9" w:rsidP="00DA236E">
      <w:pPr>
        <w:jc w:val="both"/>
        <w:rPr>
          <w:rFonts w:ascii="Times New Roman" w:hAnsi="Times New Roman"/>
          <w:sz w:val="24"/>
          <w:szCs w:val="24"/>
        </w:rPr>
      </w:pPr>
      <w:r w:rsidRPr="009758DE">
        <w:rPr>
          <w:rFonts w:ascii="Times New Roman" w:hAnsi="Times New Roman"/>
          <w:sz w:val="24"/>
          <w:szCs w:val="24"/>
        </w:rPr>
        <w:t>Department of Health and Human Services</w:t>
      </w:r>
    </w:p>
    <w:p w:rsidR="000C3CC9" w:rsidRPr="009758DE" w:rsidRDefault="000C3CC9" w:rsidP="00DA236E">
      <w:pPr>
        <w:jc w:val="both"/>
        <w:rPr>
          <w:rFonts w:ascii="Times New Roman" w:hAnsi="Times New Roman"/>
          <w:sz w:val="24"/>
          <w:szCs w:val="24"/>
        </w:rPr>
      </w:pPr>
      <w:r w:rsidRPr="009758DE">
        <w:rPr>
          <w:rFonts w:ascii="Times New Roman" w:hAnsi="Times New Roman"/>
          <w:sz w:val="24"/>
          <w:szCs w:val="24"/>
        </w:rPr>
        <w:t>Attn: CMS-2390-P</w:t>
      </w:r>
    </w:p>
    <w:p w:rsidR="000C3CC9" w:rsidRPr="009758DE" w:rsidRDefault="000C3CC9" w:rsidP="00DA236E">
      <w:pPr>
        <w:jc w:val="both"/>
        <w:rPr>
          <w:rFonts w:ascii="Times New Roman" w:hAnsi="Times New Roman"/>
          <w:sz w:val="24"/>
          <w:szCs w:val="24"/>
        </w:rPr>
      </w:pPr>
      <w:r w:rsidRPr="009758DE">
        <w:rPr>
          <w:rFonts w:ascii="Times New Roman" w:hAnsi="Times New Roman"/>
          <w:sz w:val="24"/>
          <w:szCs w:val="24"/>
        </w:rPr>
        <w:t>P.O. Box 8016</w:t>
      </w:r>
    </w:p>
    <w:p w:rsidR="000C3CC9" w:rsidRPr="009758DE" w:rsidRDefault="009758DE" w:rsidP="00DA236E">
      <w:pPr>
        <w:jc w:val="both"/>
        <w:rPr>
          <w:rFonts w:ascii="Times New Roman" w:hAnsi="Times New Roman"/>
          <w:sz w:val="24"/>
          <w:szCs w:val="24"/>
        </w:rPr>
      </w:pPr>
      <w:r>
        <w:rPr>
          <w:rFonts w:ascii="Times New Roman" w:hAnsi="Times New Roman"/>
          <w:sz w:val="24"/>
          <w:szCs w:val="24"/>
        </w:rPr>
        <w:t xml:space="preserve">Baltimore, MD </w:t>
      </w:r>
      <w:r w:rsidR="000C3CC9" w:rsidRPr="009758DE">
        <w:rPr>
          <w:rFonts w:ascii="Times New Roman" w:hAnsi="Times New Roman"/>
          <w:sz w:val="24"/>
          <w:szCs w:val="24"/>
        </w:rPr>
        <w:t>21244-8016</w:t>
      </w:r>
    </w:p>
    <w:p w:rsidR="000C3CC9" w:rsidRPr="009758DE" w:rsidRDefault="000C3CC9" w:rsidP="00DA236E">
      <w:pPr>
        <w:pStyle w:val="Default"/>
        <w:jc w:val="both"/>
        <w:rPr>
          <w:rFonts w:ascii="Times New Roman" w:hAnsi="Times New Roman" w:cs="Times New Roman"/>
          <w:b/>
          <w:bCs/>
        </w:rPr>
      </w:pPr>
    </w:p>
    <w:p w:rsidR="000C3CC9" w:rsidRPr="009758DE" w:rsidRDefault="000C3CC9" w:rsidP="00DA236E">
      <w:pPr>
        <w:ind w:left="720" w:hanging="720"/>
        <w:contextualSpacing/>
        <w:jc w:val="both"/>
        <w:rPr>
          <w:rFonts w:ascii="Times New Roman" w:hAnsi="Times New Roman"/>
          <w:b/>
          <w:sz w:val="24"/>
          <w:szCs w:val="24"/>
        </w:rPr>
      </w:pPr>
      <w:r w:rsidRPr="009758DE">
        <w:rPr>
          <w:rFonts w:ascii="Times New Roman" w:hAnsi="Times New Roman"/>
          <w:b/>
          <w:sz w:val="24"/>
          <w:szCs w:val="24"/>
        </w:rPr>
        <w:t>Re:</w:t>
      </w:r>
      <w:r w:rsidRPr="009758DE">
        <w:rPr>
          <w:rFonts w:ascii="Times New Roman" w:hAnsi="Times New Roman"/>
          <w:b/>
          <w:sz w:val="24"/>
          <w:szCs w:val="24"/>
        </w:rPr>
        <w:tab/>
        <w:t>Proposed Rule for Medicaid and Children’s Health Insurance Program (CHIP) Programs; Medicaid Managed Care, CHIP Delivered in Managed Care, Medicaid and CHIP Comprehensive Quality Strategies, and Revisions Related to Third Party Liability, 80 Fed. Reg. 31098 (June 1, 2015)</w:t>
      </w:r>
    </w:p>
    <w:p w:rsidR="000C3CC9" w:rsidRPr="009758DE" w:rsidRDefault="000C3CC9" w:rsidP="00DA236E">
      <w:pPr>
        <w:contextualSpacing/>
        <w:jc w:val="both"/>
        <w:rPr>
          <w:rFonts w:ascii="Times New Roman" w:hAnsi="Times New Roman"/>
          <w:sz w:val="24"/>
          <w:szCs w:val="24"/>
        </w:rPr>
      </w:pPr>
    </w:p>
    <w:p w:rsidR="000C3CC9" w:rsidRPr="009758DE" w:rsidRDefault="000C3CC9" w:rsidP="00DA236E">
      <w:pPr>
        <w:contextualSpacing/>
        <w:jc w:val="both"/>
        <w:rPr>
          <w:rFonts w:ascii="Times New Roman" w:hAnsi="Times New Roman"/>
          <w:sz w:val="24"/>
          <w:szCs w:val="24"/>
        </w:rPr>
      </w:pPr>
      <w:r w:rsidRPr="009758DE">
        <w:rPr>
          <w:rFonts w:ascii="Times New Roman" w:hAnsi="Times New Roman"/>
          <w:sz w:val="24"/>
          <w:szCs w:val="24"/>
        </w:rPr>
        <w:t xml:space="preserve">Dear Acting Administrator </w:t>
      </w:r>
      <w:proofErr w:type="spellStart"/>
      <w:r w:rsidRPr="009758DE">
        <w:rPr>
          <w:rFonts w:ascii="Times New Roman" w:hAnsi="Times New Roman"/>
          <w:sz w:val="24"/>
          <w:szCs w:val="24"/>
        </w:rPr>
        <w:t>Slavitt</w:t>
      </w:r>
      <w:proofErr w:type="spellEnd"/>
      <w:r w:rsidRPr="009758DE">
        <w:rPr>
          <w:rFonts w:ascii="Times New Roman" w:hAnsi="Times New Roman"/>
          <w:sz w:val="24"/>
          <w:szCs w:val="24"/>
        </w:rPr>
        <w:t>:</w:t>
      </w:r>
    </w:p>
    <w:p w:rsidR="000C3CC9" w:rsidRPr="009758DE" w:rsidRDefault="000C3CC9" w:rsidP="00DA236E">
      <w:pPr>
        <w:pStyle w:val="Default"/>
        <w:jc w:val="both"/>
        <w:rPr>
          <w:rFonts w:ascii="Times New Roman" w:hAnsi="Times New Roman" w:cs="Times New Roman"/>
        </w:rPr>
      </w:pPr>
    </w:p>
    <w:p w:rsidR="000C3CC9" w:rsidRPr="009758DE" w:rsidRDefault="000C3CC9" w:rsidP="00DA236E">
      <w:pPr>
        <w:pStyle w:val="Default"/>
        <w:ind w:firstLine="720"/>
        <w:jc w:val="both"/>
        <w:rPr>
          <w:rFonts w:ascii="Times New Roman" w:hAnsi="Times New Roman" w:cs="Times New Roman"/>
        </w:rPr>
      </w:pPr>
      <w:r w:rsidRPr="009758DE">
        <w:rPr>
          <w:rFonts w:ascii="Times New Roman" w:eastAsia="Calibri" w:hAnsi="Times New Roman" w:cs="Times New Roman"/>
          <w:shd w:val="clear" w:color="auto" w:fill="FFFFFF"/>
        </w:rPr>
        <w:t>The Mid-Atlantic Association of Community Health Centers (MACHC) appreciates the opportunity to provide comments on the</w:t>
      </w:r>
      <w:r w:rsidRPr="009758DE">
        <w:rPr>
          <w:rFonts w:ascii="Times New Roman" w:hAnsi="Times New Roman" w:cs="Times New Roman"/>
        </w:rPr>
        <w:t xml:space="preserve"> above-referenced Notice of Proposed Rulemaking (“NPRM” or “Proposed Rule”) published by the Centers for Medicare &amp; Medicaid Services (“CMS”) on June 1, 2015 (80 Fed. </w:t>
      </w:r>
      <w:proofErr w:type="gramStart"/>
      <w:r w:rsidRPr="009758DE">
        <w:rPr>
          <w:rFonts w:ascii="Times New Roman" w:hAnsi="Times New Roman" w:cs="Times New Roman"/>
        </w:rPr>
        <w:t>Reg. 31098).</w:t>
      </w:r>
      <w:proofErr w:type="gramEnd"/>
      <w:r w:rsidRPr="009758DE">
        <w:rPr>
          <w:rFonts w:ascii="Times New Roman" w:hAnsi="Times New Roman" w:cs="Times New Roman"/>
        </w:rPr>
        <w:t xml:space="preserve">  </w:t>
      </w:r>
    </w:p>
    <w:p w:rsidR="00DA236E" w:rsidRDefault="00DA236E" w:rsidP="00DA236E">
      <w:pPr>
        <w:pStyle w:val="Default"/>
        <w:ind w:firstLine="720"/>
        <w:jc w:val="both"/>
        <w:rPr>
          <w:rFonts w:ascii="Times New Roman" w:eastAsia="Calibri" w:hAnsi="Times New Roman" w:cs="Times New Roman"/>
          <w:shd w:val="clear" w:color="auto" w:fill="FFFFFF"/>
        </w:rPr>
      </w:pPr>
    </w:p>
    <w:p w:rsidR="000C3CC9" w:rsidRPr="009758DE" w:rsidRDefault="000C3CC9" w:rsidP="00DA236E">
      <w:pPr>
        <w:pStyle w:val="Default"/>
        <w:ind w:firstLine="720"/>
        <w:jc w:val="both"/>
        <w:rPr>
          <w:rFonts w:ascii="Times New Roman" w:eastAsia="Calibri" w:hAnsi="Times New Roman" w:cs="Times New Roman"/>
          <w:shd w:val="clear" w:color="auto" w:fill="FFFFFF"/>
        </w:rPr>
      </w:pPr>
      <w:r w:rsidRPr="009758DE">
        <w:rPr>
          <w:rFonts w:ascii="Times New Roman" w:eastAsia="Calibri" w:hAnsi="Times New Roman" w:cs="Times New Roman"/>
          <w:shd w:val="clear" w:color="auto" w:fill="FFFFFF"/>
        </w:rPr>
        <w:t xml:space="preserve">MACHC is the federally designated Primary Care Association for Delaware and Maryland Health Centers.  Its members consist of community, migrant and homeless health centers, local non-profit and community-owned healthcare programs, including all of Maryland’s federally qualified health centers (FQHCs).  MACHC’s members provide health care services to the medically underserved and uninsured.  MACHC is built on helping our members in the delivery of accessible, affordable, cost effective, and quality primary health care to those in need. </w:t>
      </w:r>
    </w:p>
    <w:p w:rsidR="00DA236E" w:rsidRDefault="00DA236E" w:rsidP="00DA236E">
      <w:pPr>
        <w:pStyle w:val="Default"/>
        <w:ind w:firstLine="720"/>
        <w:jc w:val="both"/>
        <w:rPr>
          <w:rFonts w:ascii="Times New Roman" w:hAnsi="Times New Roman" w:cs="Times New Roman"/>
        </w:rPr>
      </w:pPr>
    </w:p>
    <w:p w:rsidR="000C3CC9" w:rsidRPr="009758DE" w:rsidRDefault="000C3CC9" w:rsidP="00DA236E">
      <w:pPr>
        <w:pStyle w:val="Default"/>
        <w:ind w:firstLine="720"/>
        <w:jc w:val="both"/>
        <w:rPr>
          <w:rFonts w:ascii="Times New Roman" w:hAnsi="Times New Roman" w:cs="Times New Roman"/>
        </w:rPr>
      </w:pPr>
      <w:r w:rsidRPr="009758DE">
        <w:rPr>
          <w:rFonts w:ascii="Times New Roman" w:hAnsi="Times New Roman" w:cs="Times New Roman"/>
        </w:rPr>
        <w:t>FQHCs in Maryland and Delaware serve thousands of Medicaid patients but also provide a stable, accessible medical home to individuals who churn between Medicaid, the commercial insurance market, and being uninsured.  A fundamental characteristic of FQHCs is their commitment to serve all individuals, regardless of their insu</w:t>
      </w:r>
      <w:r w:rsidR="00210DC0">
        <w:rPr>
          <w:rFonts w:ascii="Times New Roman" w:hAnsi="Times New Roman" w:cs="Times New Roman"/>
        </w:rPr>
        <w:t xml:space="preserve">rance status or ability to pay. </w:t>
      </w:r>
      <w:r w:rsidRPr="009758DE">
        <w:rPr>
          <w:rFonts w:ascii="Times New Roman" w:hAnsi="Times New Roman" w:cs="Times New Roman"/>
        </w:rPr>
        <w:t xml:space="preserve"> As a result, MACHC’s member FQHCs have </w:t>
      </w:r>
      <w:r w:rsidR="00210DC0">
        <w:rPr>
          <w:rFonts w:ascii="Times New Roman" w:hAnsi="Times New Roman" w:cs="Times New Roman"/>
        </w:rPr>
        <w:t xml:space="preserve">a </w:t>
      </w:r>
      <w:r w:rsidRPr="009758DE">
        <w:rPr>
          <w:rFonts w:ascii="Times New Roman" w:hAnsi="Times New Roman" w:cs="Times New Roman"/>
        </w:rPr>
        <w:t>history of providing consistent, affordable care for vulnerable individuals even as their insurance status and income fluctuate.</w:t>
      </w:r>
    </w:p>
    <w:p w:rsidR="00DA236E" w:rsidRDefault="00DA236E" w:rsidP="00DA236E">
      <w:pPr>
        <w:pStyle w:val="Default"/>
        <w:ind w:firstLine="720"/>
        <w:jc w:val="both"/>
        <w:rPr>
          <w:rFonts w:ascii="Times New Roman" w:hAnsi="Times New Roman" w:cs="Times New Roman"/>
        </w:rPr>
      </w:pPr>
    </w:p>
    <w:p w:rsidR="000C3CC9" w:rsidRPr="009758DE" w:rsidRDefault="000C3CC9" w:rsidP="00DA236E">
      <w:pPr>
        <w:pStyle w:val="Default"/>
        <w:ind w:firstLine="720"/>
        <w:jc w:val="both"/>
        <w:rPr>
          <w:rFonts w:ascii="Times New Roman" w:hAnsi="Times New Roman" w:cs="Times New Roman"/>
        </w:rPr>
      </w:pPr>
      <w:r w:rsidRPr="009758DE">
        <w:rPr>
          <w:rFonts w:ascii="Times New Roman" w:hAnsi="Times New Roman" w:cs="Times New Roman"/>
        </w:rPr>
        <w:t xml:space="preserve">The following is a summary of comments that are more fully discussed later in this correspondence. </w:t>
      </w:r>
      <w:r w:rsidR="00210DC0">
        <w:rPr>
          <w:rFonts w:ascii="Times New Roman" w:hAnsi="Times New Roman" w:cs="Times New Roman"/>
        </w:rPr>
        <w:t xml:space="preserve"> </w:t>
      </w:r>
      <w:r w:rsidRPr="009758DE">
        <w:rPr>
          <w:rFonts w:ascii="Times New Roman" w:hAnsi="Times New Roman" w:cs="Times New Roman"/>
        </w:rPr>
        <w:t xml:space="preserve">These </w:t>
      </w:r>
      <w:r w:rsidR="006C5687" w:rsidRPr="009758DE">
        <w:rPr>
          <w:rFonts w:ascii="Times New Roman" w:hAnsi="Times New Roman" w:cs="Times New Roman"/>
        </w:rPr>
        <w:t>comments mirror</w:t>
      </w:r>
      <w:r w:rsidRPr="009758DE">
        <w:rPr>
          <w:rFonts w:ascii="Times New Roman" w:hAnsi="Times New Roman" w:cs="Times New Roman"/>
        </w:rPr>
        <w:t xml:space="preserve"> the comments submitted by the National Association of Community Health Centers</w:t>
      </w:r>
      <w:r w:rsidR="006C5687" w:rsidRPr="009758DE">
        <w:rPr>
          <w:rFonts w:ascii="Times New Roman" w:hAnsi="Times New Roman" w:cs="Times New Roman"/>
        </w:rPr>
        <w:t xml:space="preserve"> (NACHC)</w:t>
      </w:r>
      <w:r w:rsidRPr="009758DE">
        <w:rPr>
          <w:rFonts w:ascii="Times New Roman" w:hAnsi="Times New Roman" w:cs="Times New Roman"/>
        </w:rPr>
        <w:t xml:space="preserve"> but are particularly relevant for Maryland and Delaware FQHCs </w:t>
      </w:r>
      <w:r w:rsidR="006C5687" w:rsidRPr="009758DE">
        <w:rPr>
          <w:rFonts w:ascii="Times New Roman" w:hAnsi="Times New Roman" w:cs="Times New Roman"/>
        </w:rPr>
        <w:t xml:space="preserve">given that the vast majority of Maryland’s Medicaid population is enrolled in managed care organizations (MCE’s under federal language).  </w:t>
      </w:r>
      <w:r w:rsidRPr="009758DE">
        <w:rPr>
          <w:rFonts w:ascii="Times New Roman" w:hAnsi="Times New Roman" w:cs="Times New Roman"/>
        </w:rPr>
        <w:t xml:space="preserve"> </w:t>
      </w:r>
    </w:p>
    <w:p w:rsidR="006C5687" w:rsidRPr="009758DE" w:rsidRDefault="006C5687" w:rsidP="00DA236E">
      <w:pPr>
        <w:pStyle w:val="Default"/>
        <w:jc w:val="both"/>
        <w:rPr>
          <w:rFonts w:ascii="Times New Roman" w:hAnsi="Times New Roman" w:cs="Times New Roman"/>
        </w:rPr>
      </w:pPr>
    </w:p>
    <w:p w:rsidR="000C3CC9" w:rsidRPr="009758DE" w:rsidRDefault="000C3CC9" w:rsidP="00DA236E">
      <w:pPr>
        <w:pStyle w:val="Default"/>
        <w:jc w:val="both"/>
        <w:rPr>
          <w:rFonts w:ascii="Times New Roman" w:hAnsi="Times New Roman" w:cs="Times New Roman"/>
          <w:b/>
        </w:rPr>
      </w:pPr>
      <w:r w:rsidRPr="009758DE">
        <w:rPr>
          <w:rFonts w:ascii="Times New Roman" w:hAnsi="Times New Roman" w:cs="Times New Roman"/>
          <w:b/>
        </w:rPr>
        <w:lastRenderedPageBreak/>
        <w:t>SUMMARY OF COMMENTS</w:t>
      </w:r>
    </w:p>
    <w:p w:rsidR="000C3CC9" w:rsidRPr="009758DE" w:rsidRDefault="000C3CC9" w:rsidP="00DA236E">
      <w:pPr>
        <w:pStyle w:val="ListParagraph"/>
        <w:autoSpaceDE w:val="0"/>
        <w:autoSpaceDN w:val="0"/>
        <w:adjustRightInd w:val="0"/>
        <w:ind w:left="0" w:right="8"/>
        <w:contextualSpacing w:val="0"/>
        <w:jc w:val="both"/>
        <w:rPr>
          <w:b/>
          <w:u w:val="single"/>
        </w:rPr>
      </w:pPr>
      <w:r w:rsidRPr="009758DE">
        <w:rPr>
          <w:b/>
          <w:u w:val="single"/>
        </w:rPr>
        <w:t>§438.3(s</w:t>
      </w:r>
      <w:proofErr w:type="gramStart"/>
      <w:r w:rsidRPr="009758DE">
        <w:rPr>
          <w:b/>
          <w:u w:val="single"/>
        </w:rPr>
        <w:t>)(</w:t>
      </w:r>
      <w:proofErr w:type="gramEnd"/>
      <w:r w:rsidRPr="009758DE">
        <w:rPr>
          <w:b/>
          <w:u w:val="single"/>
        </w:rPr>
        <w:t>3) - Interaction of 340B and Medicaid managed care:</w:t>
      </w:r>
    </w:p>
    <w:p w:rsidR="000C3CC9" w:rsidRPr="009758DE" w:rsidRDefault="000C3CC9" w:rsidP="00DA236E">
      <w:pPr>
        <w:pStyle w:val="ListParagraph"/>
        <w:numPr>
          <w:ilvl w:val="0"/>
          <w:numId w:val="2"/>
        </w:numPr>
        <w:ind w:left="360"/>
        <w:contextualSpacing w:val="0"/>
        <w:jc w:val="both"/>
        <w:rPr>
          <w:b/>
        </w:rPr>
      </w:pPr>
      <w:r w:rsidRPr="009758DE">
        <w:rPr>
          <w:b/>
        </w:rPr>
        <w:t>MACHC requests that CMS add language to the preamble and regulatory text to:</w:t>
      </w:r>
    </w:p>
    <w:p w:rsidR="000C3CC9" w:rsidRPr="009758DE" w:rsidRDefault="000C3CC9" w:rsidP="00DA236E">
      <w:pPr>
        <w:pStyle w:val="ListParagraph"/>
        <w:numPr>
          <w:ilvl w:val="0"/>
          <w:numId w:val="4"/>
        </w:numPr>
        <w:contextualSpacing w:val="0"/>
        <w:jc w:val="both"/>
        <w:rPr>
          <w:b/>
          <w:color w:val="000000"/>
        </w:rPr>
      </w:pPr>
      <w:proofErr w:type="gramStart"/>
      <w:r w:rsidRPr="009758DE">
        <w:rPr>
          <w:b/>
          <w:color w:val="000000"/>
        </w:rPr>
        <w:t>clarify</w:t>
      </w:r>
      <w:proofErr w:type="gramEnd"/>
      <w:r w:rsidRPr="009758DE">
        <w:rPr>
          <w:b/>
          <w:color w:val="000000"/>
        </w:rPr>
        <w:t xml:space="preserve"> that neither states nor MCEs may prohibit 340B providers who are in MCE networks from using 340B drugs for their patients.  </w:t>
      </w:r>
    </w:p>
    <w:p w:rsidR="000C3CC9" w:rsidRPr="009758DE" w:rsidRDefault="000C3CC9" w:rsidP="00DA236E">
      <w:pPr>
        <w:pStyle w:val="ListParagraph"/>
        <w:numPr>
          <w:ilvl w:val="0"/>
          <w:numId w:val="4"/>
        </w:numPr>
        <w:contextualSpacing w:val="0"/>
        <w:jc w:val="both"/>
        <w:rPr>
          <w:b/>
          <w:color w:val="000000"/>
        </w:rPr>
      </w:pPr>
      <w:proofErr w:type="gramStart"/>
      <w:r w:rsidRPr="009758DE">
        <w:rPr>
          <w:b/>
          <w:color w:val="000000"/>
        </w:rPr>
        <w:t>clarify</w:t>
      </w:r>
      <w:proofErr w:type="gramEnd"/>
      <w:r w:rsidRPr="009758DE">
        <w:rPr>
          <w:b/>
          <w:color w:val="000000"/>
        </w:rPr>
        <w:t xml:space="preserve"> that neither states nor MCEs may require providers to agree not to use 340B drugs to their patients as a condition of participating in an MCE’s network.</w:t>
      </w:r>
    </w:p>
    <w:p w:rsidR="000C3CC9" w:rsidRPr="009758DE" w:rsidRDefault="000C3CC9" w:rsidP="00DA236E">
      <w:pPr>
        <w:pStyle w:val="ListParagraph"/>
        <w:numPr>
          <w:ilvl w:val="0"/>
          <w:numId w:val="4"/>
        </w:numPr>
        <w:contextualSpacing w:val="0"/>
        <w:jc w:val="both"/>
        <w:rPr>
          <w:b/>
        </w:rPr>
      </w:pPr>
      <w:proofErr w:type="gramStart"/>
      <w:r w:rsidRPr="009758DE">
        <w:rPr>
          <w:b/>
          <w:color w:val="000000"/>
        </w:rPr>
        <w:t>prohibit</w:t>
      </w:r>
      <w:proofErr w:type="gramEnd"/>
      <w:r w:rsidRPr="009758DE">
        <w:rPr>
          <w:b/>
          <w:color w:val="000000"/>
        </w:rPr>
        <w:t xml:space="preserve"> MCEs from paying lower rates for drugs purchased by 340B covered entities than for the same drugs when purchased by other MCE network providers.  Similarly, states should be prohibited from requiring MCEs to pay lower rates for drugs purchased by 340B covered entities than for the same drugs when purchased by other MCE network providers.  </w:t>
      </w:r>
    </w:p>
    <w:p w:rsidR="000C3CC9" w:rsidRPr="009758DE" w:rsidRDefault="000C3CC9" w:rsidP="00DA236E">
      <w:pPr>
        <w:pStyle w:val="ListParagraph"/>
        <w:numPr>
          <w:ilvl w:val="0"/>
          <w:numId w:val="4"/>
        </w:numPr>
        <w:contextualSpacing w:val="0"/>
        <w:jc w:val="both"/>
        <w:rPr>
          <w:b/>
        </w:rPr>
      </w:pPr>
      <w:r w:rsidRPr="009758DE">
        <w:rPr>
          <w:b/>
        </w:rPr>
        <w:t>prohibit MCEs from r</w:t>
      </w:r>
      <w:r w:rsidRPr="009758DE">
        <w:rPr>
          <w:b/>
          <w:color w:val="000000"/>
        </w:rPr>
        <w:t>equiring 340B providers to use a methodology for identifying 340B claims that makes it highly difficult or impossible for these providers and their contract pharmacies to use 340B for Medicaid MCE patients.</w:t>
      </w:r>
    </w:p>
    <w:p w:rsidR="000C3CC9" w:rsidRPr="009758DE" w:rsidRDefault="006C5687" w:rsidP="00DA236E">
      <w:pPr>
        <w:pStyle w:val="ListParagraph"/>
        <w:numPr>
          <w:ilvl w:val="0"/>
          <w:numId w:val="1"/>
        </w:numPr>
        <w:ind w:left="360"/>
        <w:contextualSpacing w:val="0"/>
        <w:jc w:val="both"/>
        <w:rPr>
          <w:b/>
        </w:rPr>
      </w:pPr>
      <w:r w:rsidRPr="009758DE">
        <w:rPr>
          <w:b/>
        </w:rPr>
        <w:t>MACHC</w:t>
      </w:r>
      <w:r w:rsidR="000C3CC9" w:rsidRPr="009758DE">
        <w:rPr>
          <w:b/>
        </w:rPr>
        <w:t xml:space="preserve"> appreciates that CMS explicitly states that 340B providers are not legally responsible for protecting manufacturers from having to pay both a 340B discount and a Medicaid rebate on a managed care claim.  </w:t>
      </w:r>
    </w:p>
    <w:p w:rsidR="000C3CC9" w:rsidRPr="009758DE" w:rsidRDefault="000C3CC9" w:rsidP="00DA236E">
      <w:pPr>
        <w:pStyle w:val="ListParagraph"/>
        <w:numPr>
          <w:ilvl w:val="0"/>
          <w:numId w:val="1"/>
        </w:numPr>
        <w:ind w:left="360"/>
        <w:contextualSpacing w:val="0"/>
        <w:jc w:val="both"/>
        <w:rPr>
          <w:b/>
        </w:rPr>
      </w:pPr>
      <w:r w:rsidRPr="009758DE">
        <w:rPr>
          <w:b/>
        </w:rPr>
        <w:t xml:space="preserve">CMS should permit 340B providers to report claims data directly to the state or the states’ rebate contractor, bypassing the MCEs, such as is currently done in Oregon.  </w:t>
      </w:r>
    </w:p>
    <w:p w:rsidR="000C3CC9" w:rsidRPr="009758DE" w:rsidRDefault="000C3CC9" w:rsidP="00DA236E">
      <w:pPr>
        <w:pStyle w:val="ListParagraph"/>
        <w:autoSpaceDE w:val="0"/>
        <w:autoSpaceDN w:val="0"/>
        <w:adjustRightInd w:val="0"/>
        <w:ind w:left="360" w:right="8"/>
        <w:contextualSpacing w:val="0"/>
        <w:jc w:val="both"/>
        <w:rPr>
          <w:b/>
        </w:rPr>
      </w:pPr>
    </w:p>
    <w:p w:rsidR="000C3CC9" w:rsidRPr="009758DE" w:rsidRDefault="000C3CC9" w:rsidP="00DA236E">
      <w:pPr>
        <w:pStyle w:val="ListParagraph"/>
        <w:autoSpaceDE w:val="0"/>
        <w:autoSpaceDN w:val="0"/>
        <w:adjustRightInd w:val="0"/>
        <w:ind w:left="0" w:right="8"/>
        <w:contextualSpacing w:val="0"/>
        <w:jc w:val="both"/>
        <w:rPr>
          <w:u w:val="single"/>
        </w:rPr>
      </w:pPr>
      <w:r w:rsidRPr="009758DE">
        <w:rPr>
          <w:u w:val="single"/>
        </w:rPr>
        <w:t>§438.3(s</w:t>
      </w:r>
      <w:proofErr w:type="gramStart"/>
      <w:r w:rsidRPr="009758DE">
        <w:rPr>
          <w:u w:val="single"/>
        </w:rPr>
        <w:t>)(</w:t>
      </w:r>
      <w:proofErr w:type="gramEnd"/>
      <w:r w:rsidRPr="009758DE">
        <w:rPr>
          <w:u w:val="single"/>
        </w:rPr>
        <w:t>3) – Interaction of 340B and Medicaid Managed Care</w:t>
      </w:r>
    </w:p>
    <w:p w:rsidR="000C3CC9" w:rsidRPr="009758DE" w:rsidRDefault="000C3CC9" w:rsidP="00561197">
      <w:pPr>
        <w:jc w:val="both"/>
        <w:rPr>
          <w:rFonts w:ascii="Times New Roman" w:hAnsi="Times New Roman"/>
          <w:i/>
          <w:sz w:val="24"/>
          <w:szCs w:val="24"/>
        </w:rPr>
      </w:pPr>
      <w:r w:rsidRPr="009758DE">
        <w:rPr>
          <w:rFonts w:ascii="Times New Roman" w:hAnsi="Times New Roman"/>
          <w:i/>
          <w:sz w:val="24"/>
          <w:szCs w:val="24"/>
        </w:rPr>
        <w:t xml:space="preserve">Please note that </w:t>
      </w:r>
      <w:r w:rsidR="006C5687" w:rsidRPr="009758DE">
        <w:rPr>
          <w:rFonts w:ascii="Times New Roman" w:hAnsi="Times New Roman"/>
          <w:i/>
          <w:sz w:val="24"/>
          <w:szCs w:val="24"/>
        </w:rPr>
        <w:t xml:space="preserve">National Association of Community Health Centers </w:t>
      </w:r>
      <w:r w:rsidRPr="009758DE">
        <w:rPr>
          <w:rFonts w:ascii="Times New Roman" w:hAnsi="Times New Roman"/>
          <w:i/>
          <w:sz w:val="24"/>
          <w:szCs w:val="24"/>
        </w:rPr>
        <w:t xml:space="preserve">co-signed a separate letter in conjunction with the 340B Coalition which outlines these issues in detail.  </w:t>
      </w:r>
      <w:r w:rsidR="006C5687" w:rsidRPr="009758DE">
        <w:rPr>
          <w:rFonts w:ascii="Times New Roman" w:hAnsi="Times New Roman"/>
          <w:i/>
          <w:sz w:val="24"/>
          <w:szCs w:val="24"/>
        </w:rPr>
        <w:t xml:space="preserve">MACHC endorses the comments reflected in the coalition letter signed by its national counterpart and reiterates the importance of the issues raised.  The following is essentially an overview of the broader coalition letter.  </w:t>
      </w:r>
      <w:r w:rsidRPr="009758DE">
        <w:rPr>
          <w:rFonts w:ascii="Times New Roman" w:hAnsi="Times New Roman"/>
          <w:i/>
          <w:sz w:val="24"/>
          <w:szCs w:val="24"/>
        </w:rPr>
        <w:t xml:space="preserve">  </w:t>
      </w:r>
    </w:p>
    <w:p w:rsidR="000C3CC9" w:rsidRPr="009758DE" w:rsidRDefault="000C3CC9" w:rsidP="00DA236E">
      <w:pPr>
        <w:jc w:val="both"/>
        <w:rPr>
          <w:rFonts w:ascii="Times New Roman" w:hAnsi="Times New Roman"/>
          <w:sz w:val="24"/>
          <w:szCs w:val="24"/>
        </w:rPr>
      </w:pPr>
    </w:p>
    <w:p w:rsidR="000C3CC9" w:rsidRPr="009758DE" w:rsidRDefault="000C3CC9" w:rsidP="00DA236E">
      <w:pPr>
        <w:pStyle w:val="ListParagraph"/>
        <w:ind w:left="0" w:firstLine="720"/>
        <w:contextualSpacing w:val="0"/>
        <w:jc w:val="both"/>
      </w:pPr>
      <w:r w:rsidRPr="009758DE">
        <w:t xml:space="preserve">For many FQHCs, the 340B Drug Discount Program is critical to their financial stability.  As a result, any policies or practices that restrict their long-standing ability to provide 340B drugs to their patients threaten their ability to keep their doors open.  This is particularly true for policies involving Medicaid </w:t>
      </w:r>
      <w:r w:rsidR="006C5687" w:rsidRPr="009758DE">
        <w:t xml:space="preserve">managed care patients.  In Maryland </w:t>
      </w:r>
      <w:r w:rsidR="008B04D2">
        <w:t xml:space="preserve">approximately 45% </w:t>
      </w:r>
      <w:r w:rsidRPr="009758DE">
        <w:t xml:space="preserve">of all FQHC patients are Medicaid beneficiaries, and of these, </w:t>
      </w:r>
      <w:r w:rsidR="006C5687" w:rsidRPr="009758DE">
        <w:t>approximately 90%</w:t>
      </w:r>
      <w:r w:rsidRPr="009758DE">
        <w:t xml:space="preserve"> are in MCEs.</w:t>
      </w:r>
    </w:p>
    <w:p w:rsidR="000C3CC9" w:rsidRPr="009758DE" w:rsidRDefault="000C3CC9" w:rsidP="00DA236E">
      <w:pPr>
        <w:pStyle w:val="ListParagraph"/>
        <w:ind w:left="0"/>
        <w:contextualSpacing w:val="0"/>
        <w:jc w:val="both"/>
      </w:pPr>
    </w:p>
    <w:p w:rsidR="000C3CC9" w:rsidRPr="009758DE" w:rsidRDefault="000C3CC9" w:rsidP="00DA236E">
      <w:pPr>
        <w:pStyle w:val="ListParagraph"/>
        <w:ind w:left="0" w:firstLine="720"/>
        <w:contextualSpacing w:val="0"/>
        <w:jc w:val="both"/>
      </w:pPr>
      <w:r w:rsidRPr="009758DE">
        <w:t>In the Affordable Care Act (ACA), Congress expanded the Medicaid Drug Discount program to Medicaid MCE patients.  However, when doing so, Congress explicitly recognized – and protected – the important role that 340B plays for safety net providers such as FQHCs.  It did so by explicitly excluding drugs purchased under 340B from the Medicaid rebates that were being expanded to other MCE drugs</w:t>
      </w:r>
      <w:r w:rsidRPr="009758DE">
        <w:rPr>
          <w:rStyle w:val="FootnoteReference"/>
        </w:rPr>
        <w:footnoteReference w:id="1"/>
      </w:r>
      <w:r w:rsidRPr="009758DE">
        <w:t xml:space="preserve">.  </w:t>
      </w:r>
    </w:p>
    <w:p w:rsidR="000C3CC9" w:rsidRPr="009758DE" w:rsidRDefault="000C3CC9" w:rsidP="00DA236E">
      <w:pPr>
        <w:pStyle w:val="ListParagraph"/>
        <w:ind w:left="0"/>
        <w:contextualSpacing w:val="0"/>
        <w:jc w:val="both"/>
      </w:pPr>
    </w:p>
    <w:p w:rsidR="000C3CC9" w:rsidRPr="009758DE" w:rsidRDefault="000C3CC9" w:rsidP="00DA236E">
      <w:pPr>
        <w:ind w:firstLine="720"/>
        <w:jc w:val="both"/>
        <w:rPr>
          <w:rFonts w:ascii="Times New Roman" w:hAnsi="Times New Roman"/>
          <w:sz w:val="24"/>
          <w:szCs w:val="24"/>
        </w:rPr>
      </w:pPr>
      <w:r w:rsidRPr="009758DE">
        <w:rPr>
          <w:rFonts w:ascii="Times New Roman" w:hAnsi="Times New Roman"/>
          <w:sz w:val="24"/>
          <w:szCs w:val="24"/>
        </w:rPr>
        <w:t xml:space="preserve">Unfortunately, in the 5 years since the ACA was enacted, there have been no regulations (and only one small piece of sub-regulatory guidance) published to help clarify how this new ACA language interacts with long-standing 340B policy and practice.  Given this void, some states and MCEs have imposed requirements that – perhaps unintentionally – are contrary to </w:t>
      </w:r>
      <w:r w:rsidRPr="009758DE">
        <w:rPr>
          <w:rFonts w:ascii="Times New Roman" w:hAnsi="Times New Roman"/>
          <w:sz w:val="24"/>
          <w:szCs w:val="24"/>
        </w:rPr>
        <w:lastRenderedPageBreak/>
        <w:t xml:space="preserve">Congressional intent behind both the 340B and ACA laws.  In addition, some MCEs and states have identified creative strategies for ensuring that the benefits of the 340B program accrue to them, as opposed to the safety net providers for whom Congress intended them.  </w:t>
      </w:r>
    </w:p>
    <w:p w:rsidR="000C3CC9" w:rsidRPr="009758DE" w:rsidRDefault="000C3CC9" w:rsidP="00DA236E">
      <w:pPr>
        <w:jc w:val="both"/>
        <w:rPr>
          <w:rFonts w:ascii="Times New Roman" w:hAnsi="Times New Roman"/>
          <w:sz w:val="24"/>
          <w:szCs w:val="24"/>
        </w:rPr>
      </w:pPr>
    </w:p>
    <w:p w:rsidR="000C3CC9" w:rsidRPr="009758DE" w:rsidRDefault="000C3CC9" w:rsidP="00DA236E">
      <w:pPr>
        <w:ind w:firstLine="720"/>
        <w:jc w:val="both"/>
        <w:rPr>
          <w:rFonts w:ascii="Times New Roman" w:hAnsi="Times New Roman"/>
          <w:sz w:val="24"/>
          <w:szCs w:val="24"/>
        </w:rPr>
      </w:pPr>
      <w:r w:rsidRPr="009758DE">
        <w:rPr>
          <w:rFonts w:ascii="Times New Roman" w:hAnsi="Times New Roman"/>
          <w:sz w:val="24"/>
          <w:szCs w:val="24"/>
        </w:rPr>
        <w:t xml:space="preserve">The Health Resources and Services Administration (HRSA) </w:t>
      </w:r>
      <w:proofErr w:type="gramStart"/>
      <w:r w:rsidRPr="009758DE">
        <w:rPr>
          <w:rFonts w:ascii="Times New Roman" w:hAnsi="Times New Roman"/>
          <w:sz w:val="24"/>
          <w:szCs w:val="24"/>
        </w:rPr>
        <w:t>has</w:t>
      </w:r>
      <w:proofErr w:type="gramEnd"/>
      <w:r w:rsidRPr="009758DE">
        <w:rPr>
          <w:rFonts w:ascii="Times New Roman" w:hAnsi="Times New Roman"/>
          <w:sz w:val="24"/>
          <w:szCs w:val="24"/>
        </w:rPr>
        <w:t xml:space="preserve"> tried to provide clarity on these issues and crack down on many of these creative strategies.  However, they lack the statutory or regulatory authority to do so.  Fortunately, </w:t>
      </w:r>
      <w:r w:rsidRPr="009758DE">
        <w:rPr>
          <w:rFonts w:ascii="Times New Roman" w:hAnsi="Times New Roman"/>
          <w:b/>
          <w:i/>
          <w:sz w:val="24"/>
          <w:szCs w:val="24"/>
        </w:rPr>
        <w:t>CMS has the authority to address these issues, and this regulation provides the appropriate vehicle.</w:t>
      </w:r>
      <w:r w:rsidR="006C5687" w:rsidRPr="009758DE">
        <w:rPr>
          <w:rFonts w:ascii="Times New Roman" w:hAnsi="Times New Roman"/>
          <w:sz w:val="24"/>
          <w:szCs w:val="24"/>
        </w:rPr>
        <w:t xml:space="preserve">  M</w:t>
      </w:r>
      <w:r w:rsidRPr="009758DE">
        <w:rPr>
          <w:rFonts w:ascii="Times New Roman" w:hAnsi="Times New Roman"/>
          <w:sz w:val="24"/>
          <w:szCs w:val="24"/>
        </w:rPr>
        <w:t>ACHC appreciates that in §438.3(s)(3), CMS provides some clarity by explicitly stating that 340B providers are not legally responsible for protecting manufacturers from having to pay both a 340B discount and a Medicaid rebate on a managed care claim.  However, there are still numerous issues where further official guidance is needed to ensure that practices on-the-ground conform to Congressional intent.  Therefore, we ask that CMS expand this section to include language that will:</w:t>
      </w:r>
    </w:p>
    <w:p w:rsidR="000C3CC9" w:rsidRPr="009758DE" w:rsidRDefault="000C3CC9" w:rsidP="00DA236E">
      <w:pPr>
        <w:pStyle w:val="ListParagraph"/>
        <w:numPr>
          <w:ilvl w:val="1"/>
          <w:numId w:val="3"/>
        </w:numPr>
        <w:ind w:left="720"/>
        <w:contextualSpacing w:val="0"/>
        <w:jc w:val="both"/>
      </w:pPr>
      <w:r w:rsidRPr="009758DE">
        <w:t xml:space="preserve">reiterate and protect FQHCs’ (and other 340B providers’) statutory right to use 340B drugs for MCE patients, and </w:t>
      </w:r>
    </w:p>
    <w:p w:rsidR="000C3CC9" w:rsidRPr="009758DE" w:rsidRDefault="000C3CC9" w:rsidP="00DA236E">
      <w:pPr>
        <w:pStyle w:val="ListParagraph"/>
        <w:numPr>
          <w:ilvl w:val="1"/>
          <w:numId w:val="3"/>
        </w:numPr>
        <w:ind w:left="720"/>
        <w:contextualSpacing w:val="0"/>
        <w:jc w:val="both"/>
      </w:pPr>
      <w:proofErr w:type="gramStart"/>
      <w:r w:rsidRPr="009758DE">
        <w:t>prohibit</w:t>
      </w:r>
      <w:proofErr w:type="gramEnd"/>
      <w:r w:rsidRPr="009758DE">
        <w:t xml:space="preserve"> practices that effectively transfer the benefits of 340B from the safety net providers (as Congress intended) to a MCE or state.  </w:t>
      </w:r>
    </w:p>
    <w:p w:rsidR="000C3CC9" w:rsidRPr="009758DE" w:rsidRDefault="000C3CC9" w:rsidP="00DA236E">
      <w:pPr>
        <w:pStyle w:val="ListParagraph"/>
        <w:ind w:left="0"/>
        <w:contextualSpacing w:val="0"/>
        <w:jc w:val="both"/>
      </w:pPr>
    </w:p>
    <w:p w:rsidR="000C3CC9" w:rsidRPr="009758DE" w:rsidRDefault="000C3CC9" w:rsidP="00DA236E">
      <w:pPr>
        <w:pStyle w:val="ListParagraph"/>
        <w:ind w:left="0"/>
        <w:contextualSpacing w:val="0"/>
        <w:jc w:val="both"/>
        <w:rPr>
          <w:b/>
        </w:rPr>
      </w:pPr>
      <w:r w:rsidRPr="009758DE">
        <w:rPr>
          <w:b/>
        </w:rPr>
        <w:t>§438.3(s</w:t>
      </w:r>
      <w:proofErr w:type="gramStart"/>
      <w:r w:rsidRPr="009758DE">
        <w:rPr>
          <w:b/>
        </w:rPr>
        <w:t>)(</w:t>
      </w:r>
      <w:proofErr w:type="gramEnd"/>
      <w:r w:rsidRPr="009758DE">
        <w:rPr>
          <w:b/>
        </w:rPr>
        <w:t xml:space="preserve">3) </w:t>
      </w:r>
      <w:r w:rsidR="006C5687" w:rsidRPr="009758DE">
        <w:rPr>
          <w:b/>
        </w:rPr>
        <w:t>Specifically, M</w:t>
      </w:r>
      <w:r w:rsidRPr="009758DE">
        <w:rPr>
          <w:b/>
        </w:rPr>
        <w:t>ACHC requests that CMS add language to the preamble and regulatory text to:</w:t>
      </w:r>
    </w:p>
    <w:p w:rsidR="000C3CC9" w:rsidRPr="009758DE" w:rsidRDefault="000C3CC9" w:rsidP="00DA236E">
      <w:pPr>
        <w:pStyle w:val="ListParagraph"/>
        <w:numPr>
          <w:ilvl w:val="0"/>
          <w:numId w:val="2"/>
        </w:numPr>
        <w:contextualSpacing w:val="0"/>
        <w:jc w:val="both"/>
        <w:rPr>
          <w:b/>
          <w:color w:val="000000"/>
        </w:rPr>
      </w:pPr>
      <w:proofErr w:type="gramStart"/>
      <w:r w:rsidRPr="009758DE">
        <w:rPr>
          <w:b/>
          <w:color w:val="000000"/>
        </w:rPr>
        <w:t>state</w:t>
      </w:r>
      <w:proofErr w:type="gramEnd"/>
      <w:r w:rsidRPr="009758DE">
        <w:rPr>
          <w:b/>
          <w:color w:val="000000"/>
        </w:rPr>
        <w:t xml:space="preserve"> explicitly that neither states nor MCEs may prohibit 340B providers who are in MCE networks from using 340B drugs for their patients.  </w:t>
      </w:r>
    </w:p>
    <w:p w:rsidR="000C3CC9" w:rsidRPr="009758DE" w:rsidRDefault="000C3CC9" w:rsidP="00DA236E">
      <w:pPr>
        <w:pStyle w:val="ListParagraph"/>
        <w:numPr>
          <w:ilvl w:val="0"/>
          <w:numId w:val="2"/>
        </w:numPr>
        <w:contextualSpacing w:val="0"/>
        <w:jc w:val="both"/>
        <w:rPr>
          <w:b/>
          <w:color w:val="000000"/>
        </w:rPr>
      </w:pPr>
      <w:proofErr w:type="gramStart"/>
      <w:r w:rsidRPr="009758DE">
        <w:rPr>
          <w:b/>
          <w:color w:val="000000"/>
        </w:rPr>
        <w:t>state</w:t>
      </w:r>
      <w:proofErr w:type="gramEnd"/>
      <w:r w:rsidRPr="009758DE">
        <w:rPr>
          <w:b/>
          <w:color w:val="000000"/>
        </w:rPr>
        <w:t xml:space="preserve"> explicitly that neither states nor MCEs may require providers to agree not to use 340B drugs to their patients as a condition of participating in an MCE’s network.</w:t>
      </w:r>
    </w:p>
    <w:p w:rsidR="000C3CC9" w:rsidRPr="009758DE" w:rsidRDefault="000C3CC9" w:rsidP="00DA236E">
      <w:pPr>
        <w:pStyle w:val="ListParagraph"/>
        <w:numPr>
          <w:ilvl w:val="0"/>
          <w:numId w:val="2"/>
        </w:numPr>
        <w:contextualSpacing w:val="0"/>
        <w:jc w:val="both"/>
        <w:rPr>
          <w:b/>
        </w:rPr>
      </w:pPr>
      <w:proofErr w:type="gramStart"/>
      <w:r w:rsidRPr="009758DE">
        <w:rPr>
          <w:b/>
          <w:color w:val="000000"/>
        </w:rPr>
        <w:t>prohibit</w:t>
      </w:r>
      <w:proofErr w:type="gramEnd"/>
      <w:r w:rsidRPr="009758DE">
        <w:rPr>
          <w:b/>
          <w:color w:val="000000"/>
        </w:rPr>
        <w:t xml:space="preserve"> MCEs from paying lower rates for drugs purchased by 340B covered entities than for the same drugs when purchased by other MCE network providers.  Similarly, states should be prohibited from requiring MCEs to pay lower rates for drugs purchased by 340B covered entities than for the same drugs when purchased by other MCE network providers.  </w:t>
      </w:r>
    </w:p>
    <w:p w:rsidR="000C3CC9" w:rsidRPr="009758DE" w:rsidRDefault="000C3CC9" w:rsidP="00DA236E">
      <w:pPr>
        <w:pStyle w:val="ListParagraph"/>
        <w:numPr>
          <w:ilvl w:val="0"/>
          <w:numId w:val="2"/>
        </w:numPr>
        <w:contextualSpacing w:val="0"/>
        <w:jc w:val="both"/>
        <w:rPr>
          <w:b/>
        </w:rPr>
      </w:pPr>
      <w:r w:rsidRPr="009758DE">
        <w:rPr>
          <w:b/>
        </w:rPr>
        <w:t>prohibit MCEs from r</w:t>
      </w:r>
      <w:r w:rsidRPr="009758DE">
        <w:rPr>
          <w:b/>
          <w:color w:val="000000"/>
        </w:rPr>
        <w:t>equiring 340B providers to use a methodology for identifying 340B claims that makes it highly difficult or impossible for these providers and their contract pharmacies to use 340B for Medicaid MCE patients.</w:t>
      </w:r>
    </w:p>
    <w:p w:rsidR="000C3CC9" w:rsidRPr="009758DE" w:rsidRDefault="000C3CC9" w:rsidP="00DA236E">
      <w:pPr>
        <w:pStyle w:val="ListParagraph"/>
        <w:contextualSpacing w:val="0"/>
        <w:jc w:val="both"/>
        <w:rPr>
          <w:b/>
        </w:rPr>
      </w:pPr>
    </w:p>
    <w:p w:rsidR="000C3CC9" w:rsidRPr="009758DE" w:rsidRDefault="000C3CC9" w:rsidP="00DA236E">
      <w:pPr>
        <w:pStyle w:val="ListParagraph"/>
        <w:ind w:left="0" w:firstLine="720"/>
        <w:contextualSpacing w:val="0"/>
        <w:jc w:val="both"/>
      </w:pPr>
      <w:r w:rsidRPr="009758DE">
        <w:rPr>
          <w:color w:val="000000"/>
        </w:rPr>
        <w:t xml:space="preserve">With regards to the last bullet, some </w:t>
      </w:r>
      <w:r w:rsidRPr="009758DE">
        <w:t>States and MCEs currently require providers to use specific methodologies for identifying 340B claims, and some of these methodologies are making it difficult or impossible for 340B providers to use 340B drugs for their patients.  For example, pharmacies that use a virtual 340B inventory normally do not know at the point of-sale (POS) if a claim is 340B, so requiring them to identify all 340B drugs at POS effectively prohibits these providers from using 340B drugs for MCE patients.</w:t>
      </w:r>
    </w:p>
    <w:p w:rsidR="000C3CC9" w:rsidRPr="009758DE" w:rsidRDefault="000C3CC9" w:rsidP="00DA236E">
      <w:pPr>
        <w:pStyle w:val="ListParagraph"/>
        <w:ind w:left="0"/>
        <w:contextualSpacing w:val="0"/>
        <w:jc w:val="both"/>
      </w:pPr>
    </w:p>
    <w:p w:rsidR="000C3CC9" w:rsidRPr="009758DE" w:rsidRDefault="000C3CC9" w:rsidP="00DA236E">
      <w:pPr>
        <w:pStyle w:val="ListParagraph"/>
        <w:ind w:left="0" w:firstLine="720"/>
        <w:contextualSpacing w:val="0"/>
        <w:jc w:val="both"/>
      </w:pPr>
      <w:r w:rsidRPr="009758DE">
        <w:t>In</w:t>
      </w:r>
      <w:r w:rsidR="00FE19E1" w:rsidRPr="009758DE">
        <w:t xml:space="preserve"> addition, M</w:t>
      </w:r>
      <w:r w:rsidRPr="009758DE">
        <w:t xml:space="preserve">ACHC offers the following comments on the interaction of the 340B and Medicaid Managed Care programs:  </w:t>
      </w:r>
    </w:p>
    <w:p w:rsidR="000C3CC9" w:rsidRPr="009758DE" w:rsidRDefault="000C3CC9" w:rsidP="00DA236E">
      <w:pPr>
        <w:pStyle w:val="ListParagraph"/>
        <w:ind w:left="0"/>
        <w:contextualSpacing w:val="0"/>
        <w:jc w:val="both"/>
      </w:pPr>
    </w:p>
    <w:p w:rsidR="000C3CC9" w:rsidRPr="009758DE" w:rsidRDefault="00FE19E1" w:rsidP="00DA236E">
      <w:pPr>
        <w:pStyle w:val="ListParagraph"/>
        <w:numPr>
          <w:ilvl w:val="0"/>
          <w:numId w:val="1"/>
        </w:numPr>
        <w:ind w:left="360"/>
        <w:contextualSpacing w:val="0"/>
        <w:jc w:val="both"/>
      </w:pPr>
      <w:r w:rsidRPr="009758DE">
        <w:rPr>
          <w:b/>
        </w:rPr>
        <w:lastRenderedPageBreak/>
        <w:t>M</w:t>
      </w:r>
      <w:r w:rsidR="000C3CC9" w:rsidRPr="009758DE">
        <w:rPr>
          <w:b/>
        </w:rPr>
        <w:t xml:space="preserve">ACHC appreciates that CMS explicitly states that 340B providers are not legally responsible for protecting manufacturers from having to pay both a 340B discount and a Medicaid rebate on a managed care claim.  </w:t>
      </w:r>
      <w:r w:rsidR="000C3CC9" w:rsidRPr="009758DE">
        <w:t>We believe that this interpretation is consistent with the statute, and also is logical from an operational standpoint.  However, since there has been some confusi</w:t>
      </w:r>
      <w:r w:rsidR="00BD61E3">
        <w:t>on in the field on this issue, M</w:t>
      </w:r>
      <w:r w:rsidR="000C3CC9" w:rsidRPr="009758DE">
        <w:t>ACHC appreciates CMS addressing it explicitly in the regulation.</w:t>
      </w:r>
    </w:p>
    <w:p w:rsidR="000C3CC9" w:rsidRPr="009758DE" w:rsidRDefault="000C3CC9" w:rsidP="00DA236E">
      <w:pPr>
        <w:pStyle w:val="ListParagraph"/>
        <w:ind w:left="360"/>
        <w:contextualSpacing w:val="0"/>
        <w:jc w:val="both"/>
        <w:rPr>
          <w:b/>
        </w:rPr>
      </w:pPr>
    </w:p>
    <w:p w:rsidR="000C3CC9" w:rsidRPr="009758DE" w:rsidRDefault="00FE19E1" w:rsidP="00DA236E">
      <w:pPr>
        <w:pStyle w:val="ListParagraph"/>
        <w:numPr>
          <w:ilvl w:val="0"/>
          <w:numId w:val="1"/>
        </w:numPr>
        <w:ind w:left="360"/>
        <w:contextualSpacing w:val="0"/>
        <w:jc w:val="both"/>
        <w:rPr>
          <w:color w:val="000000"/>
        </w:rPr>
      </w:pPr>
      <w:r w:rsidRPr="009758DE">
        <w:rPr>
          <w:b/>
        </w:rPr>
        <w:t>M</w:t>
      </w:r>
      <w:r w:rsidR="000C3CC9" w:rsidRPr="009758DE">
        <w:rPr>
          <w:b/>
        </w:rPr>
        <w:t xml:space="preserve">ACHC recommends that CMS permit 340B providers to report claims data directly to the state or the states’ rebate contractor, bypassing the MCEs, such as is currently done in Oregon.  </w:t>
      </w:r>
      <w:r w:rsidR="000C3CC9" w:rsidRPr="009758DE">
        <w:t xml:space="preserve">For many states, it may be more efficient and cost-effective for 340B providers to report their claims data directly to the state or its rebate contractor, instead of MCEs.   For example, some </w:t>
      </w:r>
      <w:r w:rsidR="000C3CC9" w:rsidRPr="009758DE">
        <w:rPr>
          <w:rFonts w:eastAsia="Calibri"/>
        </w:rPr>
        <w:t xml:space="preserve">MCEs do not possess the technical capability to handle reporting, and/or do not have the necessary relationships with entities to develop successful reporting mechanisms.  While this approach may not be appropriate for all states, we recommend that CMS grant states the flexibility to pursue the option if they deem it most appropriate.  Any state-created methodology also should allow covered entities to carve in or out on an MCE-by-MCE basis.  </w:t>
      </w:r>
    </w:p>
    <w:p w:rsidR="000C3CC9" w:rsidRPr="009758DE" w:rsidRDefault="000C3CC9" w:rsidP="00DA236E">
      <w:pPr>
        <w:pStyle w:val="ListParagraph"/>
        <w:ind w:left="0"/>
        <w:contextualSpacing w:val="0"/>
        <w:jc w:val="both"/>
        <w:rPr>
          <w:b/>
        </w:rPr>
      </w:pPr>
    </w:p>
    <w:p w:rsidR="00E80785" w:rsidRPr="009758DE" w:rsidRDefault="00FE19E1" w:rsidP="00DA236E">
      <w:pPr>
        <w:ind w:right="489" w:firstLine="720"/>
        <w:jc w:val="both"/>
        <w:rPr>
          <w:rFonts w:ascii="Times New Roman" w:hAnsi="Times New Roman"/>
          <w:sz w:val="24"/>
          <w:szCs w:val="24"/>
        </w:rPr>
      </w:pPr>
      <w:r w:rsidRPr="009758DE">
        <w:rPr>
          <w:rFonts w:ascii="Times New Roman" w:hAnsi="Times New Roman"/>
          <w:spacing w:val="-1"/>
          <w:sz w:val="24"/>
          <w:szCs w:val="24"/>
        </w:rPr>
        <w:t>T</w:t>
      </w:r>
      <w:r w:rsidR="000C3CC9" w:rsidRPr="009758DE">
        <w:rPr>
          <w:rFonts w:ascii="Times New Roman" w:hAnsi="Times New Roman"/>
          <w:spacing w:val="-1"/>
          <w:sz w:val="24"/>
          <w:szCs w:val="24"/>
        </w:rPr>
        <w:t>h</w:t>
      </w:r>
      <w:r w:rsidR="000C3CC9" w:rsidRPr="009758DE">
        <w:rPr>
          <w:rFonts w:ascii="Times New Roman" w:hAnsi="Times New Roman"/>
          <w:sz w:val="24"/>
          <w:szCs w:val="24"/>
        </w:rPr>
        <w:t>a</w:t>
      </w:r>
      <w:r w:rsidR="000C3CC9" w:rsidRPr="009758DE">
        <w:rPr>
          <w:rFonts w:ascii="Times New Roman" w:hAnsi="Times New Roman"/>
          <w:spacing w:val="-1"/>
          <w:sz w:val="24"/>
          <w:szCs w:val="24"/>
        </w:rPr>
        <w:t>n</w:t>
      </w:r>
      <w:r w:rsidR="000C3CC9" w:rsidRPr="009758DE">
        <w:rPr>
          <w:rFonts w:ascii="Times New Roman" w:hAnsi="Times New Roman"/>
          <w:sz w:val="24"/>
          <w:szCs w:val="24"/>
        </w:rPr>
        <w:t>k</w:t>
      </w:r>
      <w:r w:rsidR="000C3CC9" w:rsidRPr="009758DE">
        <w:rPr>
          <w:rFonts w:ascii="Times New Roman" w:hAnsi="Times New Roman"/>
          <w:spacing w:val="1"/>
          <w:sz w:val="24"/>
          <w:szCs w:val="24"/>
        </w:rPr>
        <w:t xml:space="preserve"> </w:t>
      </w:r>
      <w:r w:rsidR="000C3CC9" w:rsidRPr="009758DE">
        <w:rPr>
          <w:rFonts w:ascii="Times New Roman" w:hAnsi="Times New Roman"/>
          <w:spacing w:val="-1"/>
          <w:sz w:val="24"/>
          <w:szCs w:val="24"/>
        </w:rPr>
        <w:t>y</w:t>
      </w:r>
      <w:r w:rsidR="000C3CC9" w:rsidRPr="009758DE">
        <w:rPr>
          <w:rFonts w:ascii="Times New Roman" w:hAnsi="Times New Roman"/>
          <w:spacing w:val="1"/>
          <w:sz w:val="24"/>
          <w:szCs w:val="24"/>
        </w:rPr>
        <w:t>o</w:t>
      </w:r>
      <w:r w:rsidR="000C3CC9" w:rsidRPr="009758DE">
        <w:rPr>
          <w:rFonts w:ascii="Times New Roman" w:hAnsi="Times New Roman"/>
          <w:sz w:val="24"/>
          <w:szCs w:val="24"/>
        </w:rPr>
        <w:t xml:space="preserve">u </w:t>
      </w:r>
      <w:r w:rsidR="000C3CC9" w:rsidRPr="009758DE">
        <w:rPr>
          <w:rFonts w:ascii="Times New Roman" w:hAnsi="Times New Roman"/>
          <w:spacing w:val="-3"/>
          <w:sz w:val="24"/>
          <w:szCs w:val="24"/>
        </w:rPr>
        <w:t>f</w:t>
      </w:r>
      <w:r w:rsidR="000C3CC9" w:rsidRPr="009758DE">
        <w:rPr>
          <w:rFonts w:ascii="Times New Roman" w:hAnsi="Times New Roman"/>
          <w:spacing w:val="1"/>
          <w:sz w:val="24"/>
          <w:szCs w:val="24"/>
        </w:rPr>
        <w:t>o</w:t>
      </w:r>
      <w:r w:rsidR="000C3CC9" w:rsidRPr="009758DE">
        <w:rPr>
          <w:rFonts w:ascii="Times New Roman" w:hAnsi="Times New Roman"/>
          <w:sz w:val="24"/>
          <w:szCs w:val="24"/>
        </w:rPr>
        <w:t>r t</w:t>
      </w:r>
      <w:r w:rsidR="000C3CC9" w:rsidRPr="009758DE">
        <w:rPr>
          <w:rFonts w:ascii="Times New Roman" w:hAnsi="Times New Roman"/>
          <w:spacing w:val="-1"/>
          <w:sz w:val="24"/>
          <w:szCs w:val="24"/>
        </w:rPr>
        <w:t>h</w:t>
      </w:r>
      <w:r w:rsidR="000C3CC9" w:rsidRPr="009758DE">
        <w:rPr>
          <w:rFonts w:ascii="Times New Roman" w:hAnsi="Times New Roman"/>
          <w:sz w:val="24"/>
          <w:szCs w:val="24"/>
        </w:rPr>
        <w:t>e</w:t>
      </w:r>
      <w:r w:rsidR="000C3CC9" w:rsidRPr="009758DE">
        <w:rPr>
          <w:rFonts w:ascii="Times New Roman" w:hAnsi="Times New Roman"/>
          <w:spacing w:val="-1"/>
          <w:sz w:val="24"/>
          <w:szCs w:val="24"/>
        </w:rPr>
        <w:t xml:space="preserve"> </w:t>
      </w:r>
      <w:r w:rsidR="000C3CC9" w:rsidRPr="009758DE">
        <w:rPr>
          <w:rFonts w:ascii="Times New Roman" w:hAnsi="Times New Roman"/>
          <w:spacing w:val="1"/>
          <w:sz w:val="24"/>
          <w:szCs w:val="24"/>
        </w:rPr>
        <w:t>o</w:t>
      </w:r>
      <w:r w:rsidR="000C3CC9" w:rsidRPr="009758DE">
        <w:rPr>
          <w:rFonts w:ascii="Times New Roman" w:hAnsi="Times New Roman"/>
          <w:spacing w:val="-1"/>
          <w:sz w:val="24"/>
          <w:szCs w:val="24"/>
        </w:rPr>
        <w:t>p</w:t>
      </w:r>
      <w:r w:rsidR="000C3CC9" w:rsidRPr="009758DE">
        <w:rPr>
          <w:rFonts w:ascii="Times New Roman" w:hAnsi="Times New Roman"/>
          <w:spacing w:val="-3"/>
          <w:sz w:val="24"/>
          <w:szCs w:val="24"/>
        </w:rPr>
        <w:t>p</w:t>
      </w:r>
      <w:r w:rsidR="000C3CC9" w:rsidRPr="009758DE">
        <w:rPr>
          <w:rFonts w:ascii="Times New Roman" w:hAnsi="Times New Roman"/>
          <w:spacing w:val="1"/>
          <w:sz w:val="24"/>
          <w:szCs w:val="24"/>
        </w:rPr>
        <w:t>o</w:t>
      </w:r>
      <w:r w:rsidR="000C3CC9" w:rsidRPr="009758DE">
        <w:rPr>
          <w:rFonts w:ascii="Times New Roman" w:hAnsi="Times New Roman"/>
          <w:sz w:val="24"/>
          <w:szCs w:val="24"/>
        </w:rPr>
        <w:t>rt</w:t>
      </w:r>
      <w:r w:rsidR="000C3CC9" w:rsidRPr="009758DE">
        <w:rPr>
          <w:rFonts w:ascii="Times New Roman" w:hAnsi="Times New Roman"/>
          <w:spacing w:val="-3"/>
          <w:sz w:val="24"/>
          <w:szCs w:val="24"/>
        </w:rPr>
        <w:t>u</w:t>
      </w:r>
      <w:r w:rsidR="000C3CC9" w:rsidRPr="009758DE">
        <w:rPr>
          <w:rFonts w:ascii="Times New Roman" w:hAnsi="Times New Roman"/>
          <w:spacing w:val="-1"/>
          <w:sz w:val="24"/>
          <w:szCs w:val="24"/>
        </w:rPr>
        <w:t>n</w:t>
      </w:r>
      <w:r w:rsidR="000C3CC9" w:rsidRPr="009758DE">
        <w:rPr>
          <w:rFonts w:ascii="Times New Roman" w:hAnsi="Times New Roman"/>
          <w:sz w:val="24"/>
          <w:szCs w:val="24"/>
        </w:rPr>
        <w:t>ity</w:t>
      </w:r>
      <w:r w:rsidR="000C3CC9" w:rsidRPr="009758DE">
        <w:rPr>
          <w:rFonts w:ascii="Times New Roman" w:hAnsi="Times New Roman"/>
          <w:spacing w:val="1"/>
          <w:sz w:val="24"/>
          <w:szCs w:val="24"/>
        </w:rPr>
        <w:t xml:space="preserve"> </w:t>
      </w:r>
      <w:r w:rsidR="000C3CC9" w:rsidRPr="009758DE">
        <w:rPr>
          <w:rFonts w:ascii="Times New Roman" w:hAnsi="Times New Roman"/>
          <w:spacing w:val="-2"/>
          <w:sz w:val="24"/>
          <w:szCs w:val="24"/>
        </w:rPr>
        <w:t>t</w:t>
      </w:r>
      <w:r w:rsidR="000C3CC9" w:rsidRPr="009758DE">
        <w:rPr>
          <w:rFonts w:ascii="Times New Roman" w:hAnsi="Times New Roman"/>
          <w:sz w:val="24"/>
          <w:szCs w:val="24"/>
        </w:rPr>
        <w:t>o</w:t>
      </w:r>
      <w:r w:rsidR="000C3CC9" w:rsidRPr="009758DE">
        <w:rPr>
          <w:rFonts w:ascii="Times New Roman" w:hAnsi="Times New Roman"/>
          <w:spacing w:val="2"/>
          <w:sz w:val="24"/>
          <w:szCs w:val="24"/>
        </w:rPr>
        <w:t xml:space="preserve"> </w:t>
      </w:r>
      <w:r w:rsidR="000C3CC9" w:rsidRPr="009758DE">
        <w:rPr>
          <w:rFonts w:ascii="Times New Roman" w:hAnsi="Times New Roman"/>
          <w:spacing w:val="-2"/>
          <w:sz w:val="24"/>
          <w:szCs w:val="24"/>
        </w:rPr>
        <w:t>c</w:t>
      </w:r>
      <w:r w:rsidR="000C3CC9" w:rsidRPr="009758DE">
        <w:rPr>
          <w:rFonts w:ascii="Times New Roman" w:hAnsi="Times New Roman"/>
          <w:spacing w:val="-1"/>
          <w:sz w:val="24"/>
          <w:szCs w:val="24"/>
        </w:rPr>
        <w:t>om</w:t>
      </w:r>
      <w:r w:rsidR="000C3CC9" w:rsidRPr="009758DE">
        <w:rPr>
          <w:rFonts w:ascii="Times New Roman" w:hAnsi="Times New Roman"/>
          <w:spacing w:val="1"/>
          <w:sz w:val="24"/>
          <w:szCs w:val="24"/>
        </w:rPr>
        <w:t>me</w:t>
      </w:r>
      <w:r w:rsidR="000C3CC9" w:rsidRPr="009758DE">
        <w:rPr>
          <w:rFonts w:ascii="Times New Roman" w:hAnsi="Times New Roman"/>
          <w:spacing w:val="-1"/>
          <w:sz w:val="24"/>
          <w:szCs w:val="24"/>
        </w:rPr>
        <w:t>n</w:t>
      </w:r>
      <w:r w:rsidR="000C3CC9" w:rsidRPr="009758DE">
        <w:rPr>
          <w:rFonts w:ascii="Times New Roman" w:hAnsi="Times New Roman"/>
          <w:sz w:val="24"/>
          <w:szCs w:val="24"/>
        </w:rPr>
        <w:t>t</w:t>
      </w:r>
      <w:r w:rsidR="000C3CC9" w:rsidRPr="009758DE">
        <w:rPr>
          <w:rFonts w:ascii="Times New Roman" w:hAnsi="Times New Roman"/>
          <w:spacing w:val="-1"/>
          <w:sz w:val="24"/>
          <w:szCs w:val="24"/>
        </w:rPr>
        <w:t xml:space="preserve"> </w:t>
      </w:r>
      <w:r w:rsidR="000C3CC9" w:rsidRPr="009758DE">
        <w:rPr>
          <w:rFonts w:ascii="Times New Roman" w:hAnsi="Times New Roman"/>
          <w:spacing w:val="1"/>
          <w:sz w:val="24"/>
          <w:szCs w:val="24"/>
        </w:rPr>
        <w:t>o</w:t>
      </w:r>
      <w:r w:rsidR="000C3CC9" w:rsidRPr="009758DE">
        <w:rPr>
          <w:rFonts w:ascii="Times New Roman" w:hAnsi="Times New Roman"/>
          <w:sz w:val="24"/>
          <w:szCs w:val="24"/>
        </w:rPr>
        <w:t>n t</w:t>
      </w:r>
      <w:r w:rsidR="000C3CC9" w:rsidRPr="009758DE">
        <w:rPr>
          <w:rFonts w:ascii="Times New Roman" w:hAnsi="Times New Roman"/>
          <w:spacing w:val="-3"/>
          <w:sz w:val="24"/>
          <w:szCs w:val="24"/>
        </w:rPr>
        <w:t>h</w:t>
      </w:r>
      <w:r w:rsidR="000C3CC9" w:rsidRPr="009758DE">
        <w:rPr>
          <w:rFonts w:ascii="Times New Roman" w:hAnsi="Times New Roman"/>
          <w:sz w:val="24"/>
          <w:szCs w:val="24"/>
        </w:rPr>
        <w:t>e</w:t>
      </w:r>
      <w:r w:rsidR="000C3CC9" w:rsidRPr="009758DE">
        <w:rPr>
          <w:rFonts w:ascii="Times New Roman" w:hAnsi="Times New Roman"/>
          <w:spacing w:val="1"/>
          <w:sz w:val="24"/>
          <w:szCs w:val="24"/>
        </w:rPr>
        <w:t xml:space="preserve"> </w:t>
      </w:r>
      <w:r w:rsidR="000C3CC9" w:rsidRPr="009758DE">
        <w:rPr>
          <w:rFonts w:ascii="Times New Roman" w:hAnsi="Times New Roman"/>
          <w:spacing w:val="-1"/>
          <w:sz w:val="24"/>
          <w:szCs w:val="24"/>
        </w:rPr>
        <w:t>NP</w:t>
      </w:r>
      <w:r w:rsidR="000C3CC9" w:rsidRPr="009758DE">
        <w:rPr>
          <w:rFonts w:ascii="Times New Roman" w:hAnsi="Times New Roman"/>
          <w:sz w:val="24"/>
          <w:szCs w:val="24"/>
        </w:rPr>
        <w:t>R</w:t>
      </w:r>
      <w:r w:rsidR="000C3CC9" w:rsidRPr="009758DE">
        <w:rPr>
          <w:rFonts w:ascii="Times New Roman" w:hAnsi="Times New Roman"/>
          <w:spacing w:val="1"/>
          <w:sz w:val="24"/>
          <w:szCs w:val="24"/>
        </w:rPr>
        <w:t>M</w:t>
      </w:r>
      <w:r w:rsidR="000C3CC9" w:rsidRPr="009758DE">
        <w:rPr>
          <w:rFonts w:ascii="Times New Roman" w:hAnsi="Times New Roman"/>
          <w:sz w:val="24"/>
          <w:szCs w:val="24"/>
        </w:rPr>
        <w:t xml:space="preserve">. </w:t>
      </w:r>
      <w:r w:rsidR="000C3CC9" w:rsidRPr="009758DE">
        <w:rPr>
          <w:rFonts w:ascii="Times New Roman" w:hAnsi="Times New Roman"/>
          <w:spacing w:val="1"/>
          <w:sz w:val="24"/>
          <w:szCs w:val="24"/>
        </w:rPr>
        <w:t xml:space="preserve"> </w:t>
      </w:r>
      <w:r w:rsidR="000C3CC9" w:rsidRPr="009758DE">
        <w:rPr>
          <w:rFonts w:ascii="Times New Roman" w:hAnsi="Times New Roman"/>
          <w:sz w:val="24"/>
          <w:szCs w:val="24"/>
        </w:rPr>
        <w:t>If</w:t>
      </w:r>
      <w:r w:rsidR="000C3CC9" w:rsidRPr="009758DE">
        <w:rPr>
          <w:rFonts w:ascii="Times New Roman" w:hAnsi="Times New Roman"/>
          <w:spacing w:val="-2"/>
          <w:sz w:val="24"/>
          <w:szCs w:val="24"/>
        </w:rPr>
        <w:t xml:space="preserve"> y</w:t>
      </w:r>
      <w:r w:rsidR="000C3CC9" w:rsidRPr="009758DE">
        <w:rPr>
          <w:rFonts w:ascii="Times New Roman" w:hAnsi="Times New Roman"/>
          <w:spacing w:val="1"/>
          <w:sz w:val="24"/>
          <w:szCs w:val="24"/>
        </w:rPr>
        <w:t>o</w:t>
      </w:r>
      <w:r w:rsidR="000C3CC9" w:rsidRPr="009758DE">
        <w:rPr>
          <w:rFonts w:ascii="Times New Roman" w:hAnsi="Times New Roman"/>
          <w:sz w:val="24"/>
          <w:szCs w:val="24"/>
        </w:rPr>
        <w:t>u r</w:t>
      </w:r>
      <w:r w:rsidR="000C3CC9" w:rsidRPr="009758DE">
        <w:rPr>
          <w:rFonts w:ascii="Times New Roman" w:hAnsi="Times New Roman"/>
          <w:spacing w:val="1"/>
          <w:sz w:val="24"/>
          <w:szCs w:val="24"/>
        </w:rPr>
        <w:t>e</w:t>
      </w:r>
      <w:r w:rsidR="000C3CC9" w:rsidRPr="009758DE">
        <w:rPr>
          <w:rFonts w:ascii="Times New Roman" w:hAnsi="Times New Roman"/>
          <w:spacing w:val="-1"/>
          <w:sz w:val="24"/>
          <w:szCs w:val="24"/>
        </w:rPr>
        <w:t>qu</w:t>
      </w:r>
      <w:r w:rsidR="000C3CC9" w:rsidRPr="009758DE">
        <w:rPr>
          <w:rFonts w:ascii="Times New Roman" w:hAnsi="Times New Roman"/>
          <w:sz w:val="24"/>
          <w:szCs w:val="24"/>
        </w:rPr>
        <w:t>ire</w:t>
      </w:r>
      <w:r w:rsidR="000C3CC9" w:rsidRPr="009758DE">
        <w:rPr>
          <w:rFonts w:ascii="Times New Roman" w:hAnsi="Times New Roman"/>
          <w:spacing w:val="-1"/>
          <w:sz w:val="24"/>
          <w:szCs w:val="24"/>
        </w:rPr>
        <w:t xml:space="preserve"> </w:t>
      </w:r>
      <w:r w:rsidR="000C3CC9" w:rsidRPr="009758DE">
        <w:rPr>
          <w:rFonts w:ascii="Times New Roman" w:hAnsi="Times New Roman"/>
          <w:sz w:val="24"/>
          <w:szCs w:val="24"/>
        </w:rPr>
        <w:t>a</w:t>
      </w:r>
      <w:r w:rsidR="000C3CC9" w:rsidRPr="009758DE">
        <w:rPr>
          <w:rFonts w:ascii="Times New Roman" w:hAnsi="Times New Roman"/>
          <w:spacing w:val="-1"/>
          <w:sz w:val="24"/>
          <w:szCs w:val="24"/>
        </w:rPr>
        <w:t>n</w:t>
      </w:r>
      <w:r w:rsidR="000C3CC9" w:rsidRPr="009758DE">
        <w:rPr>
          <w:rFonts w:ascii="Times New Roman" w:hAnsi="Times New Roman"/>
          <w:sz w:val="24"/>
          <w:szCs w:val="24"/>
        </w:rPr>
        <w:t>y</w:t>
      </w:r>
      <w:r w:rsidR="000C3CC9" w:rsidRPr="009758DE">
        <w:rPr>
          <w:rFonts w:ascii="Times New Roman" w:hAnsi="Times New Roman"/>
          <w:spacing w:val="2"/>
          <w:sz w:val="24"/>
          <w:szCs w:val="24"/>
        </w:rPr>
        <w:t xml:space="preserve"> </w:t>
      </w:r>
      <w:r w:rsidR="000C3CC9" w:rsidRPr="009758DE">
        <w:rPr>
          <w:rFonts w:ascii="Times New Roman" w:hAnsi="Times New Roman"/>
          <w:sz w:val="24"/>
          <w:szCs w:val="24"/>
        </w:rPr>
        <w:t>cl</w:t>
      </w:r>
      <w:r w:rsidR="000C3CC9" w:rsidRPr="009758DE">
        <w:rPr>
          <w:rFonts w:ascii="Times New Roman" w:hAnsi="Times New Roman"/>
          <w:spacing w:val="-3"/>
          <w:sz w:val="24"/>
          <w:szCs w:val="24"/>
        </w:rPr>
        <w:t>ar</w:t>
      </w:r>
      <w:r w:rsidR="000C3CC9" w:rsidRPr="009758DE">
        <w:rPr>
          <w:rFonts w:ascii="Times New Roman" w:hAnsi="Times New Roman"/>
          <w:sz w:val="24"/>
          <w:szCs w:val="24"/>
        </w:rPr>
        <w:t>ificati</w:t>
      </w:r>
      <w:r w:rsidR="000C3CC9" w:rsidRPr="009758DE">
        <w:rPr>
          <w:rFonts w:ascii="Times New Roman" w:hAnsi="Times New Roman"/>
          <w:spacing w:val="1"/>
          <w:sz w:val="24"/>
          <w:szCs w:val="24"/>
        </w:rPr>
        <w:t>o</w:t>
      </w:r>
      <w:r w:rsidR="000C3CC9" w:rsidRPr="009758DE">
        <w:rPr>
          <w:rFonts w:ascii="Times New Roman" w:hAnsi="Times New Roman"/>
          <w:sz w:val="24"/>
          <w:szCs w:val="24"/>
        </w:rPr>
        <w:t>n</w:t>
      </w:r>
      <w:r w:rsidR="000C3CC9" w:rsidRPr="009758DE">
        <w:rPr>
          <w:rFonts w:ascii="Times New Roman" w:hAnsi="Times New Roman"/>
          <w:spacing w:val="-3"/>
          <w:sz w:val="24"/>
          <w:szCs w:val="24"/>
        </w:rPr>
        <w:t xml:space="preserve"> </w:t>
      </w:r>
      <w:r w:rsidR="000C3CC9" w:rsidRPr="009758DE">
        <w:rPr>
          <w:rFonts w:ascii="Times New Roman" w:hAnsi="Times New Roman"/>
          <w:spacing w:val="1"/>
          <w:sz w:val="24"/>
          <w:szCs w:val="24"/>
        </w:rPr>
        <w:t>o</w:t>
      </w:r>
      <w:r w:rsidR="000C3CC9" w:rsidRPr="009758DE">
        <w:rPr>
          <w:rFonts w:ascii="Times New Roman" w:hAnsi="Times New Roman"/>
          <w:sz w:val="24"/>
          <w:szCs w:val="24"/>
        </w:rPr>
        <w:t>n t</w:t>
      </w:r>
      <w:r w:rsidR="000C3CC9" w:rsidRPr="009758DE">
        <w:rPr>
          <w:rFonts w:ascii="Times New Roman" w:hAnsi="Times New Roman"/>
          <w:spacing w:val="-3"/>
          <w:sz w:val="24"/>
          <w:szCs w:val="24"/>
        </w:rPr>
        <w:t>h</w:t>
      </w:r>
      <w:r w:rsidR="000C3CC9" w:rsidRPr="009758DE">
        <w:rPr>
          <w:rFonts w:ascii="Times New Roman" w:hAnsi="Times New Roman"/>
          <w:spacing w:val="1"/>
          <w:sz w:val="24"/>
          <w:szCs w:val="24"/>
        </w:rPr>
        <w:t>e</w:t>
      </w:r>
      <w:r w:rsidR="000C3CC9" w:rsidRPr="009758DE">
        <w:rPr>
          <w:rFonts w:ascii="Times New Roman" w:hAnsi="Times New Roman"/>
          <w:sz w:val="24"/>
          <w:szCs w:val="24"/>
        </w:rPr>
        <w:t>se c</w:t>
      </w:r>
      <w:r w:rsidR="000C3CC9" w:rsidRPr="009758DE">
        <w:rPr>
          <w:rFonts w:ascii="Times New Roman" w:hAnsi="Times New Roman"/>
          <w:spacing w:val="-1"/>
          <w:sz w:val="24"/>
          <w:szCs w:val="24"/>
        </w:rPr>
        <w:t>o</w:t>
      </w:r>
      <w:r w:rsidR="000C3CC9" w:rsidRPr="009758DE">
        <w:rPr>
          <w:rFonts w:ascii="Times New Roman" w:hAnsi="Times New Roman"/>
          <w:spacing w:val="1"/>
          <w:sz w:val="24"/>
          <w:szCs w:val="24"/>
        </w:rPr>
        <w:t>m</w:t>
      </w:r>
      <w:r w:rsidR="000C3CC9" w:rsidRPr="009758DE">
        <w:rPr>
          <w:rFonts w:ascii="Times New Roman" w:hAnsi="Times New Roman"/>
          <w:spacing w:val="-1"/>
          <w:sz w:val="24"/>
          <w:szCs w:val="24"/>
        </w:rPr>
        <w:t>m</w:t>
      </w:r>
      <w:r w:rsidR="000C3CC9" w:rsidRPr="009758DE">
        <w:rPr>
          <w:rFonts w:ascii="Times New Roman" w:hAnsi="Times New Roman"/>
          <w:sz w:val="24"/>
          <w:szCs w:val="24"/>
        </w:rPr>
        <w:t>e</w:t>
      </w:r>
      <w:r w:rsidR="000C3CC9" w:rsidRPr="009758DE">
        <w:rPr>
          <w:rFonts w:ascii="Times New Roman" w:hAnsi="Times New Roman"/>
          <w:spacing w:val="-1"/>
          <w:sz w:val="24"/>
          <w:szCs w:val="24"/>
        </w:rPr>
        <w:t>n</w:t>
      </w:r>
      <w:r w:rsidR="000C3CC9" w:rsidRPr="009758DE">
        <w:rPr>
          <w:rFonts w:ascii="Times New Roman" w:hAnsi="Times New Roman"/>
          <w:sz w:val="24"/>
          <w:szCs w:val="24"/>
        </w:rPr>
        <w:t>ts,</w:t>
      </w:r>
      <w:r w:rsidR="000C3CC9" w:rsidRPr="009758DE">
        <w:rPr>
          <w:rFonts w:ascii="Times New Roman" w:hAnsi="Times New Roman"/>
          <w:spacing w:val="1"/>
          <w:sz w:val="24"/>
          <w:szCs w:val="24"/>
        </w:rPr>
        <w:t xml:space="preserve"> </w:t>
      </w:r>
      <w:r w:rsidR="000C3CC9" w:rsidRPr="009758DE">
        <w:rPr>
          <w:rFonts w:ascii="Times New Roman" w:hAnsi="Times New Roman"/>
          <w:spacing w:val="-1"/>
          <w:sz w:val="24"/>
          <w:szCs w:val="24"/>
        </w:rPr>
        <w:t>p</w:t>
      </w:r>
      <w:r w:rsidR="000C3CC9" w:rsidRPr="009758DE">
        <w:rPr>
          <w:rFonts w:ascii="Times New Roman" w:hAnsi="Times New Roman"/>
          <w:spacing w:val="-3"/>
          <w:sz w:val="24"/>
          <w:szCs w:val="24"/>
        </w:rPr>
        <w:t>l</w:t>
      </w:r>
      <w:r w:rsidR="000C3CC9" w:rsidRPr="009758DE">
        <w:rPr>
          <w:rFonts w:ascii="Times New Roman" w:hAnsi="Times New Roman"/>
          <w:spacing w:val="1"/>
          <w:sz w:val="24"/>
          <w:szCs w:val="24"/>
        </w:rPr>
        <w:t>e</w:t>
      </w:r>
      <w:r w:rsidR="000C3CC9" w:rsidRPr="009758DE">
        <w:rPr>
          <w:rFonts w:ascii="Times New Roman" w:hAnsi="Times New Roman"/>
          <w:sz w:val="24"/>
          <w:szCs w:val="24"/>
        </w:rPr>
        <w:t>ase</w:t>
      </w:r>
      <w:r w:rsidR="000C3CC9" w:rsidRPr="009758DE">
        <w:rPr>
          <w:rFonts w:ascii="Times New Roman" w:hAnsi="Times New Roman"/>
          <w:spacing w:val="-1"/>
          <w:sz w:val="24"/>
          <w:szCs w:val="24"/>
        </w:rPr>
        <w:t xml:space="preserve"> </w:t>
      </w:r>
      <w:r w:rsidRPr="009758DE">
        <w:rPr>
          <w:rFonts w:ascii="Times New Roman" w:hAnsi="Times New Roman"/>
          <w:spacing w:val="-1"/>
          <w:sz w:val="24"/>
          <w:szCs w:val="24"/>
        </w:rPr>
        <w:t xml:space="preserve">feel free to contact me </w:t>
      </w:r>
      <w:r w:rsidR="000C3CC9" w:rsidRPr="009758DE">
        <w:rPr>
          <w:rFonts w:ascii="Times New Roman" w:hAnsi="Times New Roman"/>
          <w:sz w:val="24"/>
          <w:szCs w:val="24"/>
        </w:rPr>
        <w:t>at</w:t>
      </w:r>
      <w:r w:rsidR="000C3CC9" w:rsidRPr="009758DE">
        <w:rPr>
          <w:rFonts w:ascii="Times New Roman" w:hAnsi="Times New Roman"/>
          <w:spacing w:val="-1"/>
          <w:sz w:val="24"/>
          <w:szCs w:val="24"/>
        </w:rPr>
        <w:t xml:space="preserve"> </w:t>
      </w:r>
      <w:r w:rsidRPr="009758DE">
        <w:rPr>
          <w:rFonts w:ascii="Times New Roman" w:hAnsi="Times New Roman"/>
          <w:spacing w:val="-1"/>
          <w:sz w:val="24"/>
          <w:szCs w:val="24"/>
        </w:rPr>
        <w:t>301-577-0097</w:t>
      </w:r>
      <w:r w:rsidR="00BD61E3">
        <w:rPr>
          <w:rFonts w:ascii="Times New Roman" w:hAnsi="Times New Roman"/>
          <w:spacing w:val="-1"/>
          <w:sz w:val="24"/>
          <w:szCs w:val="24"/>
        </w:rPr>
        <w:t xml:space="preserve"> ext. 126</w:t>
      </w:r>
      <w:r w:rsidRPr="009758DE">
        <w:rPr>
          <w:rFonts w:ascii="Times New Roman" w:hAnsi="Times New Roman"/>
          <w:spacing w:val="-1"/>
          <w:sz w:val="24"/>
          <w:szCs w:val="24"/>
        </w:rPr>
        <w:t xml:space="preserve"> </w:t>
      </w:r>
      <w:r w:rsidR="000C3CC9" w:rsidRPr="009758DE">
        <w:rPr>
          <w:rFonts w:ascii="Times New Roman" w:hAnsi="Times New Roman"/>
          <w:spacing w:val="1"/>
          <w:sz w:val="24"/>
          <w:szCs w:val="24"/>
        </w:rPr>
        <w:t>o</w:t>
      </w:r>
      <w:r w:rsidR="000C3CC9" w:rsidRPr="009758DE">
        <w:rPr>
          <w:rFonts w:ascii="Times New Roman" w:hAnsi="Times New Roman"/>
          <w:sz w:val="24"/>
          <w:szCs w:val="24"/>
        </w:rPr>
        <w:t xml:space="preserve">r </w:t>
      </w:r>
      <w:hyperlink r:id="rId8" w:history="1">
        <w:r w:rsidRPr="009758DE">
          <w:rPr>
            <w:rStyle w:val="Hyperlink"/>
            <w:rFonts w:ascii="Times New Roman" w:hAnsi="Times New Roman"/>
            <w:sz w:val="24"/>
            <w:szCs w:val="24"/>
          </w:rPr>
          <w:t>jlapinski@machc.com</w:t>
        </w:r>
      </w:hyperlink>
      <w:r w:rsidRPr="009758DE">
        <w:rPr>
          <w:rFonts w:ascii="Times New Roman" w:hAnsi="Times New Roman"/>
          <w:sz w:val="24"/>
          <w:szCs w:val="24"/>
        </w:rPr>
        <w:t xml:space="preserve">. </w:t>
      </w:r>
    </w:p>
    <w:p w:rsidR="00FE19E1" w:rsidRPr="009758DE" w:rsidRDefault="00FE19E1" w:rsidP="00DA236E">
      <w:pPr>
        <w:ind w:right="489"/>
        <w:rPr>
          <w:rFonts w:ascii="Times New Roman" w:hAnsi="Times New Roman"/>
          <w:sz w:val="24"/>
          <w:szCs w:val="24"/>
        </w:rPr>
      </w:pPr>
    </w:p>
    <w:p w:rsidR="00FE19E1" w:rsidRPr="009758DE" w:rsidRDefault="00FE19E1" w:rsidP="00FE19E1">
      <w:pPr>
        <w:spacing w:after="120"/>
        <w:ind w:right="489"/>
        <w:rPr>
          <w:rFonts w:ascii="Times New Roman" w:hAnsi="Times New Roman"/>
          <w:sz w:val="24"/>
          <w:szCs w:val="24"/>
        </w:rPr>
      </w:pPr>
      <w:r w:rsidRPr="009758DE">
        <w:rPr>
          <w:rFonts w:ascii="Times New Roman" w:hAnsi="Times New Roman"/>
          <w:sz w:val="24"/>
          <w:szCs w:val="24"/>
        </w:rPr>
        <w:t xml:space="preserve">Sincerely, </w:t>
      </w:r>
    </w:p>
    <w:p w:rsidR="00FE19E1" w:rsidRPr="009758DE" w:rsidRDefault="00FE19E1" w:rsidP="00FE19E1">
      <w:pPr>
        <w:spacing w:after="120"/>
        <w:ind w:right="489"/>
        <w:rPr>
          <w:rFonts w:ascii="Times New Roman" w:hAnsi="Times New Roman"/>
          <w:sz w:val="24"/>
          <w:szCs w:val="24"/>
        </w:rPr>
      </w:pPr>
    </w:p>
    <w:p w:rsidR="006C2EF4" w:rsidRDefault="00FE19E1" w:rsidP="00B025E3">
      <w:pPr>
        <w:ind w:right="490"/>
        <w:rPr>
          <w:rFonts w:ascii="Times New Roman" w:hAnsi="Times New Roman"/>
          <w:sz w:val="24"/>
          <w:szCs w:val="24"/>
        </w:rPr>
      </w:pPr>
      <w:r w:rsidRPr="009758DE">
        <w:rPr>
          <w:rFonts w:ascii="Times New Roman" w:hAnsi="Times New Roman"/>
          <w:sz w:val="24"/>
          <w:szCs w:val="24"/>
        </w:rPr>
        <w:t>Judy Lapinski</w:t>
      </w:r>
    </w:p>
    <w:p w:rsidR="00FE19E1" w:rsidRDefault="00FE19E1" w:rsidP="00B025E3">
      <w:pPr>
        <w:ind w:right="490"/>
        <w:rPr>
          <w:rFonts w:ascii="Times New Roman" w:hAnsi="Times New Roman"/>
          <w:sz w:val="24"/>
          <w:szCs w:val="24"/>
        </w:rPr>
      </w:pPr>
      <w:r w:rsidRPr="009758DE">
        <w:rPr>
          <w:rFonts w:ascii="Times New Roman" w:hAnsi="Times New Roman"/>
          <w:sz w:val="24"/>
          <w:szCs w:val="24"/>
        </w:rPr>
        <w:t>Chief Operating Officer</w:t>
      </w:r>
    </w:p>
    <w:p w:rsidR="006C2EF4" w:rsidRDefault="006C2EF4" w:rsidP="00B025E3">
      <w:pPr>
        <w:ind w:right="490"/>
        <w:rPr>
          <w:rFonts w:ascii="Times New Roman" w:hAnsi="Times New Roman"/>
          <w:sz w:val="24"/>
          <w:szCs w:val="24"/>
        </w:rPr>
      </w:pPr>
      <w:r>
        <w:rPr>
          <w:rFonts w:ascii="Times New Roman" w:hAnsi="Times New Roman"/>
          <w:sz w:val="24"/>
          <w:szCs w:val="24"/>
        </w:rPr>
        <w:t>Mid-Atlantic Association of Community Health Centers</w:t>
      </w:r>
    </w:p>
    <w:p w:rsidR="003E2A9F" w:rsidRDefault="003E2A9F" w:rsidP="00FE19E1">
      <w:pPr>
        <w:spacing w:after="120"/>
        <w:ind w:right="489"/>
        <w:rPr>
          <w:rFonts w:ascii="Times New Roman" w:hAnsi="Times New Roman"/>
          <w:sz w:val="24"/>
          <w:szCs w:val="24"/>
        </w:rPr>
      </w:pPr>
    </w:p>
    <w:p w:rsidR="003E2A9F" w:rsidRPr="00F038E9" w:rsidRDefault="003E2A9F" w:rsidP="003E2A9F">
      <w:pPr>
        <w:rPr>
          <w:rFonts w:ascii="Times New Roman" w:hAnsi="Times New Roman"/>
          <w:sz w:val="24"/>
          <w:szCs w:val="24"/>
        </w:rPr>
      </w:pPr>
      <w:r>
        <w:rPr>
          <w:rFonts w:ascii="Times New Roman" w:hAnsi="Times New Roman"/>
          <w:sz w:val="24"/>
          <w:szCs w:val="24"/>
        </w:rPr>
        <w:t xml:space="preserve">cc: </w:t>
      </w:r>
      <w:r w:rsidRPr="00F038E9">
        <w:rPr>
          <w:rFonts w:ascii="Times New Roman" w:hAnsi="Times New Roman"/>
          <w:sz w:val="24"/>
          <w:szCs w:val="24"/>
        </w:rPr>
        <w:tab/>
      </w:r>
      <w:r w:rsidR="00F038E9" w:rsidRPr="00F038E9">
        <w:rPr>
          <w:rFonts w:ascii="Times New Roman" w:hAnsi="Times New Roman"/>
          <w:sz w:val="24"/>
          <w:szCs w:val="24"/>
        </w:rPr>
        <w:t xml:space="preserve">Senator </w:t>
      </w:r>
      <w:r w:rsidRPr="00F038E9">
        <w:rPr>
          <w:rFonts w:ascii="Times New Roman" w:hAnsi="Times New Roman"/>
          <w:sz w:val="24"/>
          <w:szCs w:val="24"/>
        </w:rPr>
        <w:t xml:space="preserve">Barbara </w:t>
      </w:r>
      <w:r w:rsidR="00F038E9">
        <w:rPr>
          <w:rFonts w:ascii="Times New Roman" w:hAnsi="Times New Roman"/>
          <w:sz w:val="24"/>
          <w:szCs w:val="24"/>
        </w:rPr>
        <w:t xml:space="preserve">A. </w:t>
      </w:r>
      <w:r w:rsidRPr="00F038E9">
        <w:rPr>
          <w:rFonts w:ascii="Times New Roman" w:hAnsi="Times New Roman"/>
          <w:sz w:val="24"/>
          <w:szCs w:val="24"/>
        </w:rPr>
        <w:t>Mikulski</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Senator </w:t>
      </w:r>
      <w:r w:rsidR="003E2A9F" w:rsidRPr="00F038E9">
        <w:rPr>
          <w:rFonts w:ascii="Times New Roman" w:hAnsi="Times New Roman"/>
          <w:sz w:val="24"/>
          <w:szCs w:val="24"/>
        </w:rPr>
        <w:t xml:space="preserve">Benjamin </w:t>
      </w:r>
      <w:r>
        <w:rPr>
          <w:rFonts w:ascii="Times New Roman" w:hAnsi="Times New Roman"/>
          <w:sz w:val="24"/>
          <w:szCs w:val="24"/>
        </w:rPr>
        <w:t xml:space="preserve">L. </w:t>
      </w:r>
      <w:r w:rsidR="003E2A9F" w:rsidRPr="00F038E9">
        <w:rPr>
          <w:rFonts w:ascii="Times New Roman" w:hAnsi="Times New Roman"/>
          <w:sz w:val="24"/>
          <w:szCs w:val="24"/>
        </w:rPr>
        <w:t>Cardin</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Representative C.</w:t>
      </w:r>
      <w:r w:rsidR="003E2A9F" w:rsidRPr="00F038E9">
        <w:rPr>
          <w:rFonts w:ascii="Times New Roman" w:hAnsi="Times New Roman"/>
          <w:sz w:val="24"/>
          <w:szCs w:val="24"/>
        </w:rPr>
        <w:t xml:space="preserve">A. Dutch </w:t>
      </w:r>
      <w:proofErr w:type="spellStart"/>
      <w:r w:rsidR="003E2A9F" w:rsidRPr="00F038E9">
        <w:rPr>
          <w:rFonts w:ascii="Times New Roman" w:hAnsi="Times New Roman"/>
          <w:sz w:val="24"/>
          <w:szCs w:val="24"/>
        </w:rPr>
        <w:t>Ruppersberger</w:t>
      </w:r>
      <w:proofErr w:type="spellEnd"/>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r w:rsidR="003E2A9F" w:rsidRPr="00F038E9">
        <w:rPr>
          <w:rFonts w:ascii="Times New Roman" w:hAnsi="Times New Roman"/>
          <w:sz w:val="24"/>
          <w:szCs w:val="24"/>
        </w:rPr>
        <w:t xml:space="preserve">Andy </w:t>
      </w:r>
      <w:r>
        <w:rPr>
          <w:rFonts w:ascii="Times New Roman" w:hAnsi="Times New Roman"/>
          <w:sz w:val="24"/>
          <w:szCs w:val="24"/>
        </w:rPr>
        <w:t xml:space="preserve">P. </w:t>
      </w:r>
      <w:r w:rsidR="003E2A9F" w:rsidRPr="00F038E9">
        <w:rPr>
          <w:rFonts w:ascii="Times New Roman" w:hAnsi="Times New Roman"/>
          <w:sz w:val="24"/>
          <w:szCs w:val="24"/>
        </w:rPr>
        <w:t>Harris</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r w:rsidR="003E2A9F" w:rsidRPr="00F038E9">
        <w:rPr>
          <w:rFonts w:ascii="Times New Roman" w:hAnsi="Times New Roman"/>
          <w:sz w:val="24"/>
          <w:szCs w:val="24"/>
        </w:rPr>
        <w:t xml:space="preserve">Chris Van </w:t>
      </w:r>
      <w:proofErr w:type="spellStart"/>
      <w:r w:rsidR="003E2A9F" w:rsidRPr="00F038E9">
        <w:rPr>
          <w:rFonts w:ascii="Times New Roman" w:hAnsi="Times New Roman"/>
          <w:sz w:val="24"/>
          <w:szCs w:val="24"/>
        </w:rPr>
        <w:t>Hollen</w:t>
      </w:r>
      <w:proofErr w:type="spellEnd"/>
      <w:r w:rsidR="003E2A9F" w:rsidRPr="00F038E9">
        <w:rPr>
          <w:rFonts w:ascii="Times New Roman" w:hAnsi="Times New Roman"/>
          <w:sz w:val="24"/>
          <w:szCs w:val="24"/>
        </w:rPr>
        <w:t xml:space="preserve"> Jr.</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r w:rsidR="003E2A9F" w:rsidRPr="00F038E9">
        <w:rPr>
          <w:rFonts w:ascii="Times New Roman" w:hAnsi="Times New Roman"/>
          <w:sz w:val="24"/>
          <w:szCs w:val="24"/>
        </w:rPr>
        <w:t xml:space="preserve">Donna </w:t>
      </w:r>
      <w:r>
        <w:rPr>
          <w:rFonts w:ascii="Times New Roman" w:hAnsi="Times New Roman"/>
          <w:sz w:val="24"/>
          <w:szCs w:val="24"/>
        </w:rPr>
        <w:t xml:space="preserve">F. </w:t>
      </w:r>
      <w:r w:rsidR="003E2A9F" w:rsidRPr="00F038E9">
        <w:rPr>
          <w:rFonts w:ascii="Times New Roman" w:hAnsi="Times New Roman"/>
          <w:sz w:val="24"/>
          <w:szCs w:val="24"/>
        </w:rPr>
        <w:t>Edwards</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r w:rsidR="003E2A9F" w:rsidRPr="00F038E9">
        <w:rPr>
          <w:rFonts w:ascii="Times New Roman" w:hAnsi="Times New Roman"/>
          <w:sz w:val="24"/>
          <w:szCs w:val="24"/>
        </w:rPr>
        <w:t xml:space="preserve">Elijah </w:t>
      </w:r>
      <w:r>
        <w:rPr>
          <w:rFonts w:ascii="Times New Roman" w:hAnsi="Times New Roman"/>
          <w:sz w:val="24"/>
          <w:szCs w:val="24"/>
        </w:rPr>
        <w:t xml:space="preserve">E. </w:t>
      </w:r>
      <w:r w:rsidR="003E2A9F" w:rsidRPr="00F038E9">
        <w:rPr>
          <w:rFonts w:ascii="Times New Roman" w:hAnsi="Times New Roman"/>
          <w:sz w:val="24"/>
          <w:szCs w:val="24"/>
        </w:rPr>
        <w:t>Cummings</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r w:rsidR="003E2A9F" w:rsidRPr="00F038E9">
        <w:rPr>
          <w:rFonts w:ascii="Times New Roman" w:hAnsi="Times New Roman"/>
          <w:sz w:val="24"/>
          <w:szCs w:val="24"/>
        </w:rPr>
        <w:t xml:space="preserve">John </w:t>
      </w:r>
      <w:r>
        <w:rPr>
          <w:rFonts w:ascii="Times New Roman" w:hAnsi="Times New Roman"/>
          <w:sz w:val="24"/>
          <w:szCs w:val="24"/>
        </w:rPr>
        <w:t xml:space="preserve">K. </w:t>
      </w:r>
      <w:r w:rsidR="003E2A9F" w:rsidRPr="00F038E9">
        <w:rPr>
          <w:rFonts w:ascii="Times New Roman" w:hAnsi="Times New Roman"/>
          <w:sz w:val="24"/>
          <w:szCs w:val="24"/>
        </w:rPr>
        <w:t xml:space="preserve">Delaney </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r w:rsidR="003E2A9F" w:rsidRPr="00F038E9">
        <w:rPr>
          <w:rFonts w:ascii="Times New Roman" w:hAnsi="Times New Roman"/>
          <w:sz w:val="24"/>
          <w:szCs w:val="24"/>
        </w:rPr>
        <w:t xml:space="preserve">John </w:t>
      </w:r>
      <w:r>
        <w:rPr>
          <w:rFonts w:ascii="Times New Roman" w:hAnsi="Times New Roman"/>
          <w:sz w:val="24"/>
          <w:szCs w:val="24"/>
        </w:rPr>
        <w:t xml:space="preserve">P. S. </w:t>
      </w:r>
      <w:r w:rsidR="003E2A9F" w:rsidRPr="00F038E9">
        <w:rPr>
          <w:rFonts w:ascii="Times New Roman" w:hAnsi="Times New Roman"/>
          <w:sz w:val="24"/>
          <w:szCs w:val="24"/>
        </w:rPr>
        <w:t>Sarbanes</w:t>
      </w:r>
    </w:p>
    <w:p w:rsidR="003E2A9F" w:rsidRPr="00F038E9" w:rsidRDefault="00F038E9" w:rsidP="003E2A9F">
      <w:pPr>
        <w:ind w:firstLine="720"/>
        <w:rPr>
          <w:rFonts w:ascii="Times New Roman" w:hAnsi="Times New Roman"/>
          <w:sz w:val="24"/>
          <w:szCs w:val="24"/>
        </w:rPr>
      </w:pPr>
      <w:r>
        <w:rPr>
          <w:rFonts w:ascii="Times New Roman" w:hAnsi="Times New Roman"/>
          <w:sz w:val="24"/>
          <w:szCs w:val="24"/>
        </w:rPr>
        <w:t xml:space="preserve">Representative </w:t>
      </w:r>
      <w:proofErr w:type="spellStart"/>
      <w:r w:rsidR="003E2A9F" w:rsidRPr="00F038E9">
        <w:rPr>
          <w:rFonts w:ascii="Times New Roman" w:hAnsi="Times New Roman"/>
          <w:sz w:val="24"/>
          <w:szCs w:val="24"/>
        </w:rPr>
        <w:t>Steny</w:t>
      </w:r>
      <w:proofErr w:type="spellEnd"/>
      <w:r>
        <w:rPr>
          <w:rFonts w:ascii="Times New Roman" w:hAnsi="Times New Roman"/>
          <w:sz w:val="24"/>
          <w:szCs w:val="24"/>
        </w:rPr>
        <w:t xml:space="preserve"> H.</w:t>
      </w:r>
      <w:r w:rsidR="003E2A9F" w:rsidRPr="00F038E9">
        <w:rPr>
          <w:rFonts w:ascii="Times New Roman" w:hAnsi="Times New Roman"/>
          <w:sz w:val="24"/>
          <w:szCs w:val="24"/>
        </w:rPr>
        <w:t xml:space="preserve"> Hoyer</w:t>
      </w:r>
    </w:p>
    <w:p w:rsidR="003E2A9F" w:rsidRPr="00F038E9" w:rsidRDefault="00F038E9" w:rsidP="00F038E9">
      <w:pPr>
        <w:ind w:right="490"/>
        <w:rPr>
          <w:rFonts w:ascii="Times New Roman" w:hAnsi="Times New Roman"/>
          <w:sz w:val="24"/>
          <w:szCs w:val="24"/>
        </w:rPr>
      </w:pPr>
      <w:r w:rsidRPr="00F038E9">
        <w:rPr>
          <w:rFonts w:ascii="Times New Roman" w:hAnsi="Times New Roman"/>
          <w:sz w:val="24"/>
          <w:szCs w:val="24"/>
        </w:rPr>
        <w:tab/>
        <w:t xml:space="preserve">Van </w:t>
      </w:r>
      <w:r w:rsidR="00770BD0">
        <w:rPr>
          <w:rFonts w:ascii="Times New Roman" w:hAnsi="Times New Roman"/>
          <w:sz w:val="24"/>
          <w:szCs w:val="24"/>
        </w:rPr>
        <w:t xml:space="preserve">T. </w:t>
      </w:r>
      <w:r w:rsidRPr="00F038E9">
        <w:rPr>
          <w:rFonts w:ascii="Times New Roman" w:hAnsi="Times New Roman"/>
          <w:sz w:val="24"/>
          <w:szCs w:val="24"/>
        </w:rPr>
        <w:t>Mitchell</w:t>
      </w:r>
      <w:r>
        <w:rPr>
          <w:rFonts w:ascii="Times New Roman" w:hAnsi="Times New Roman"/>
          <w:sz w:val="24"/>
          <w:szCs w:val="24"/>
        </w:rPr>
        <w:t xml:space="preserve">, </w:t>
      </w:r>
      <w:r w:rsidR="00D129EE">
        <w:rPr>
          <w:rFonts w:ascii="Times New Roman" w:hAnsi="Times New Roman"/>
          <w:sz w:val="24"/>
          <w:szCs w:val="24"/>
        </w:rPr>
        <w:t xml:space="preserve">Secretary, </w:t>
      </w:r>
      <w:r w:rsidR="00770BD0">
        <w:rPr>
          <w:rFonts w:ascii="Times New Roman" w:hAnsi="Times New Roman"/>
          <w:sz w:val="24"/>
          <w:szCs w:val="24"/>
        </w:rPr>
        <w:t xml:space="preserve">Maryland </w:t>
      </w:r>
      <w:r w:rsidR="00D129EE">
        <w:rPr>
          <w:rFonts w:ascii="Times New Roman" w:hAnsi="Times New Roman"/>
          <w:sz w:val="24"/>
          <w:szCs w:val="24"/>
        </w:rPr>
        <w:t>Department of Health and Mental Hygiene</w:t>
      </w:r>
      <w:r w:rsidR="00770BD0">
        <w:rPr>
          <w:rFonts w:ascii="Times New Roman" w:hAnsi="Times New Roman"/>
          <w:sz w:val="24"/>
          <w:szCs w:val="24"/>
        </w:rPr>
        <w:t xml:space="preserve"> </w:t>
      </w:r>
    </w:p>
    <w:p w:rsidR="00805075" w:rsidRDefault="00F038E9" w:rsidP="00805075">
      <w:pPr>
        <w:ind w:left="720" w:right="490"/>
        <w:rPr>
          <w:rFonts w:ascii="Times New Roman" w:hAnsi="Times New Roman"/>
          <w:sz w:val="24"/>
          <w:szCs w:val="24"/>
        </w:rPr>
      </w:pPr>
      <w:r w:rsidRPr="00F038E9">
        <w:rPr>
          <w:rFonts w:ascii="Times New Roman" w:hAnsi="Times New Roman"/>
          <w:sz w:val="24"/>
          <w:szCs w:val="24"/>
        </w:rPr>
        <w:t>Shannon McMahon,</w:t>
      </w:r>
      <w:r w:rsidR="00D129EE">
        <w:rPr>
          <w:rFonts w:ascii="Times New Roman" w:hAnsi="Times New Roman"/>
          <w:sz w:val="24"/>
          <w:szCs w:val="24"/>
        </w:rPr>
        <w:t xml:space="preserve"> </w:t>
      </w:r>
      <w:r w:rsidR="00A320AC">
        <w:rPr>
          <w:rFonts w:ascii="Times New Roman" w:hAnsi="Times New Roman"/>
          <w:sz w:val="24"/>
          <w:szCs w:val="24"/>
        </w:rPr>
        <w:t xml:space="preserve">Deputy Secretary, </w:t>
      </w:r>
      <w:r w:rsidR="0003260C">
        <w:rPr>
          <w:rFonts w:ascii="Times New Roman" w:hAnsi="Times New Roman"/>
          <w:sz w:val="24"/>
          <w:szCs w:val="24"/>
        </w:rPr>
        <w:t>Health Care Financing</w:t>
      </w:r>
      <w:r w:rsidR="00770BD0">
        <w:rPr>
          <w:rFonts w:ascii="Times New Roman" w:hAnsi="Times New Roman"/>
          <w:sz w:val="24"/>
          <w:szCs w:val="24"/>
        </w:rPr>
        <w:t xml:space="preserve">, Maryland    </w:t>
      </w:r>
      <w:r w:rsidR="00805075">
        <w:rPr>
          <w:rFonts w:ascii="Times New Roman" w:hAnsi="Times New Roman"/>
          <w:sz w:val="24"/>
          <w:szCs w:val="24"/>
        </w:rPr>
        <w:t xml:space="preserve">      </w:t>
      </w:r>
    </w:p>
    <w:p w:rsidR="00F038E9" w:rsidRPr="00F038E9" w:rsidRDefault="00805075" w:rsidP="00805075">
      <w:pPr>
        <w:ind w:left="720" w:right="490"/>
        <w:rPr>
          <w:rFonts w:ascii="Times New Roman" w:hAnsi="Times New Roman"/>
          <w:sz w:val="24"/>
          <w:szCs w:val="24"/>
        </w:rPr>
      </w:pPr>
      <w:r>
        <w:rPr>
          <w:rFonts w:ascii="Times New Roman" w:hAnsi="Times New Roman"/>
          <w:sz w:val="24"/>
          <w:szCs w:val="24"/>
        </w:rPr>
        <w:t xml:space="preserve">   </w:t>
      </w:r>
      <w:r w:rsidR="00770BD0">
        <w:rPr>
          <w:rFonts w:ascii="Times New Roman" w:hAnsi="Times New Roman"/>
          <w:sz w:val="24"/>
          <w:szCs w:val="24"/>
        </w:rPr>
        <w:t>Department of Health and Mental Hygiene</w:t>
      </w:r>
    </w:p>
    <w:p w:rsidR="00FE19E1" w:rsidRPr="009758DE" w:rsidRDefault="00FE19E1" w:rsidP="00FE19E1">
      <w:pPr>
        <w:spacing w:after="120"/>
        <w:ind w:right="489"/>
        <w:rPr>
          <w:rFonts w:ascii="Times New Roman" w:hAnsi="Times New Roman"/>
          <w:sz w:val="24"/>
          <w:szCs w:val="24"/>
        </w:rPr>
      </w:pPr>
    </w:p>
    <w:p w:rsidR="00FE19E1" w:rsidRPr="009758DE" w:rsidRDefault="00FE19E1" w:rsidP="00FE19E1">
      <w:pPr>
        <w:spacing w:after="120"/>
        <w:ind w:right="489"/>
        <w:rPr>
          <w:rFonts w:ascii="Times New Roman" w:hAnsi="Times New Roman"/>
          <w:sz w:val="24"/>
          <w:szCs w:val="24"/>
        </w:rPr>
      </w:pPr>
    </w:p>
    <w:sectPr w:rsidR="00FE19E1" w:rsidRPr="009758DE" w:rsidSect="009758DE">
      <w:footerReference w:type="default" r:id="rId9"/>
      <w:headerReference w:type="first" r:id="rId10"/>
      <w:footerReference w:type="first" r:id="rId11"/>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4F" w:rsidRDefault="005B274F" w:rsidP="000C3CC9">
      <w:r>
        <w:separator/>
      </w:r>
    </w:p>
  </w:endnote>
  <w:endnote w:type="continuationSeparator" w:id="0">
    <w:p w:rsidR="005B274F" w:rsidRDefault="005B274F" w:rsidP="000C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2159"/>
      <w:docPartObj>
        <w:docPartGallery w:val="Page Numbers (Bottom of Page)"/>
        <w:docPartUnique/>
      </w:docPartObj>
    </w:sdtPr>
    <w:sdtEndPr>
      <w:rPr>
        <w:rFonts w:ascii="Times New Roman" w:hAnsi="Times New Roman"/>
      </w:rPr>
    </w:sdtEndPr>
    <w:sdtContent>
      <w:p w:rsidR="00A94C60" w:rsidRPr="00A94C60" w:rsidRDefault="00DD5009">
        <w:pPr>
          <w:pStyle w:val="Footer"/>
          <w:jc w:val="center"/>
          <w:rPr>
            <w:rFonts w:ascii="Times New Roman" w:hAnsi="Times New Roman"/>
          </w:rPr>
        </w:pPr>
        <w:r w:rsidRPr="00A94C60">
          <w:rPr>
            <w:rFonts w:ascii="Times New Roman" w:hAnsi="Times New Roman"/>
            <w:sz w:val="24"/>
            <w:szCs w:val="24"/>
          </w:rPr>
          <w:fldChar w:fldCharType="begin"/>
        </w:r>
        <w:r w:rsidR="00A94C60" w:rsidRPr="00A94C60">
          <w:rPr>
            <w:rFonts w:ascii="Times New Roman" w:hAnsi="Times New Roman"/>
            <w:sz w:val="24"/>
            <w:szCs w:val="24"/>
          </w:rPr>
          <w:instrText xml:space="preserve"> PAGE   \* MERGEFORMAT </w:instrText>
        </w:r>
        <w:r w:rsidRPr="00A94C60">
          <w:rPr>
            <w:rFonts w:ascii="Times New Roman" w:hAnsi="Times New Roman"/>
            <w:sz w:val="24"/>
            <w:szCs w:val="24"/>
          </w:rPr>
          <w:fldChar w:fldCharType="separate"/>
        </w:r>
        <w:r w:rsidR="00B73EAE">
          <w:rPr>
            <w:rFonts w:ascii="Times New Roman" w:hAnsi="Times New Roman"/>
            <w:noProof/>
            <w:sz w:val="24"/>
            <w:szCs w:val="24"/>
          </w:rPr>
          <w:t>4</w:t>
        </w:r>
        <w:r w:rsidRPr="00A94C60">
          <w:rPr>
            <w:rFonts w:ascii="Times New Roman" w:hAnsi="Times New Roman"/>
            <w:sz w:val="24"/>
            <w:szCs w:val="24"/>
          </w:rPr>
          <w:fldChar w:fldCharType="end"/>
        </w:r>
      </w:p>
    </w:sdtContent>
  </w:sdt>
  <w:p w:rsidR="00A94C60" w:rsidRDefault="00A94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60" w:rsidRPr="00A94C60" w:rsidRDefault="00A94C60" w:rsidP="00A94C60">
    <w:pPr>
      <w:pStyle w:val="Footer"/>
      <w:jc w:val="center"/>
      <w:rPr>
        <w:rFonts w:ascii="Times New Roman" w:hAnsi="Times New Roman"/>
        <w:sz w:val="24"/>
        <w:szCs w:val="24"/>
      </w:rPr>
    </w:pPr>
    <w:r w:rsidRPr="00A94C60">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4F" w:rsidRDefault="005B274F" w:rsidP="000C3CC9">
      <w:r>
        <w:separator/>
      </w:r>
    </w:p>
  </w:footnote>
  <w:footnote w:type="continuationSeparator" w:id="0">
    <w:p w:rsidR="005B274F" w:rsidRDefault="005B274F" w:rsidP="000C3CC9">
      <w:r>
        <w:continuationSeparator/>
      </w:r>
    </w:p>
  </w:footnote>
  <w:footnote w:id="1">
    <w:p w:rsidR="000C3CC9" w:rsidRPr="00816557" w:rsidRDefault="000C3CC9" w:rsidP="000C3CC9">
      <w:pPr>
        <w:pStyle w:val="FootnoteText"/>
        <w:rPr>
          <w:rFonts w:ascii="Times New Roman" w:hAnsi="Times New Roman"/>
        </w:rPr>
      </w:pPr>
      <w:r w:rsidRPr="00816557">
        <w:rPr>
          <w:rStyle w:val="FootnoteReference"/>
        </w:rPr>
        <w:footnoteRef/>
      </w:r>
      <w:r w:rsidRPr="00816557">
        <w:rPr>
          <w:rFonts w:ascii="Times New Roman" w:hAnsi="Times New Roman"/>
        </w:rPr>
        <w:t xml:space="preserve"> 42 USC §</w:t>
      </w:r>
      <w:proofErr w:type="gramStart"/>
      <w:r w:rsidRPr="00816557">
        <w:rPr>
          <w:rFonts w:ascii="Times New Roman" w:hAnsi="Times New Roman"/>
        </w:rPr>
        <w:t>256b(</w:t>
      </w:r>
      <w:proofErr w:type="gramEnd"/>
      <w:r w:rsidRPr="00816557">
        <w:rPr>
          <w:rFonts w:ascii="Times New Roman" w:hAnsi="Times New Roman"/>
        </w:rPr>
        <w:t>a)(5)(A)(</w:t>
      </w:r>
      <w:proofErr w:type="spellStart"/>
      <w:r w:rsidRPr="00816557">
        <w:rPr>
          <w:rFonts w:ascii="Times New Roman" w:hAnsi="Times New Roman"/>
        </w:rPr>
        <w:t>i</w:t>
      </w:r>
      <w:proofErr w:type="spellEnd"/>
      <w:r w:rsidRPr="0081655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DE" w:rsidRDefault="009758DE" w:rsidP="009758DE">
    <w:pPr>
      <w:pStyle w:val="Header"/>
      <w:ind w:left="-540"/>
    </w:pPr>
    <w:r>
      <w:rPr>
        <w:noProof/>
        <w:sz w:val="26"/>
      </w:rPr>
      <w:drawing>
        <wp:inline distT="0" distB="0" distL="0" distR="0">
          <wp:extent cx="68008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47482"/>
                  <a:stretch>
                    <a:fillRect/>
                  </a:stretch>
                </pic:blipFill>
                <pic:spPr bwMode="auto">
                  <a:xfrm>
                    <a:off x="0" y="0"/>
                    <a:ext cx="6800850" cy="1590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3C47"/>
    <w:multiLevelType w:val="hybridMultilevel"/>
    <w:tmpl w:val="43E4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54673"/>
    <w:multiLevelType w:val="hybridMultilevel"/>
    <w:tmpl w:val="6F28F00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B596E"/>
    <w:multiLevelType w:val="hybridMultilevel"/>
    <w:tmpl w:val="63A40632"/>
    <w:lvl w:ilvl="0" w:tplc="AD08B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EF1AA8"/>
    <w:multiLevelType w:val="hybridMultilevel"/>
    <w:tmpl w:val="96BC3C96"/>
    <w:lvl w:ilvl="0" w:tplc="01E4C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5734DA"/>
    <w:multiLevelType w:val="hybridMultilevel"/>
    <w:tmpl w:val="6FF20A96"/>
    <w:lvl w:ilvl="0" w:tplc="B9B4A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327536"/>
    <w:multiLevelType w:val="hybridMultilevel"/>
    <w:tmpl w:val="F2368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70DF7"/>
    <w:multiLevelType w:val="hybridMultilevel"/>
    <w:tmpl w:val="761E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C9"/>
    <w:rsid w:val="0003260C"/>
    <w:rsid w:val="000C3CC9"/>
    <w:rsid w:val="00194D91"/>
    <w:rsid w:val="00210DC0"/>
    <w:rsid w:val="003E2A9F"/>
    <w:rsid w:val="004445BA"/>
    <w:rsid w:val="004F247B"/>
    <w:rsid w:val="00561197"/>
    <w:rsid w:val="005B274F"/>
    <w:rsid w:val="00631E66"/>
    <w:rsid w:val="006C2EF4"/>
    <w:rsid w:val="006C5687"/>
    <w:rsid w:val="00770BD0"/>
    <w:rsid w:val="00805075"/>
    <w:rsid w:val="00816557"/>
    <w:rsid w:val="00821038"/>
    <w:rsid w:val="008B04D2"/>
    <w:rsid w:val="009573FE"/>
    <w:rsid w:val="009758DE"/>
    <w:rsid w:val="00A320AC"/>
    <w:rsid w:val="00A94C60"/>
    <w:rsid w:val="00B025E3"/>
    <w:rsid w:val="00B73EAE"/>
    <w:rsid w:val="00BD61E3"/>
    <w:rsid w:val="00CF6842"/>
    <w:rsid w:val="00D129EE"/>
    <w:rsid w:val="00DA236E"/>
    <w:rsid w:val="00DD5009"/>
    <w:rsid w:val="00DE2DB0"/>
    <w:rsid w:val="00E80785"/>
    <w:rsid w:val="00F038E9"/>
    <w:rsid w:val="00FE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C9"/>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3CC9"/>
    <w:rPr>
      <w:szCs w:val="20"/>
    </w:rPr>
  </w:style>
  <w:style w:type="character" w:customStyle="1" w:styleId="FootnoteTextChar">
    <w:name w:val="Footnote Text Char"/>
    <w:basedOn w:val="DefaultParagraphFont"/>
    <w:link w:val="FootnoteText"/>
    <w:uiPriority w:val="99"/>
    <w:rsid w:val="000C3CC9"/>
    <w:rPr>
      <w:rFonts w:ascii="Calibri" w:hAnsi="Calibri"/>
      <w:sz w:val="22"/>
      <w:szCs w:val="20"/>
    </w:rPr>
  </w:style>
  <w:style w:type="character" w:styleId="FootnoteReference">
    <w:name w:val="footnote reference"/>
    <w:basedOn w:val="DefaultParagraphFont"/>
    <w:uiPriority w:val="99"/>
    <w:unhideWhenUsed/>
    <w:rsid w:val="000C3CC9"/>
    <w:rPr>
      <w:rFonts w:ascii="Times New Roman" w:hAnsi="Times New Roman"/>
      <w:b w:val="0"/>
      <w:i w:val="0"/>
      <w:sz w:val="24"/>
      <w:vertAlign w:val="superscript"/>
    </w:rPr>
  </w:style>
  <w:style w:type="paragraph" w:styleId="ListParagraph">
    <w:name w:val="List Paragraph"/>
    <w:basedOn w:val="Normal"/>
    <w:uiPriority w:val="34"/>
    <w:qFormat/>
    <w:rsid w:val="000C3CC9"/>
    <w:pPr>
      <w:ind w:left="720"/>
      <w:contextualSpacing/>
    </w:pPr>
    <w:rPr>
      <w:rFonts w:ascii="Times New Roman" w:hAnsi="Times New Roman"/>
      <w:sz w:val="24"/>
      <w:szCs w:val="24"/>
    </w:rPr>
  </w:style>
  <w:style w:type="paragraph" w:customStyle="1" w:styleId="Default">
    <w:name w:val="Default"/>
    <w:rsid w:val="000C3CC9"/>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FE19E1"/>
    <w:rPr>
      <w:color w:val="0563C1" w:themeColor="hyperlink"/>
      <w:u w:val="single"/>
    </w:rPr>
  </w:style>
  <w:style w:type="paragraph" w:styleId="BalloonText">
    <w:name w:val="Balloon Text"/>
    <w:basedOn w:val="Normal"/>
    <w:link w:val="BalloonTextChar"/>
    <w:uiPriority w:val="99"/>
    <w:semiHidden/>
    <w:unhideWhenUsed/>
    <w:rsid w:val="009758DE"/>
    <w:rPr>
      <w:rFonts w:ascii="Tahoma" w:hAnsi="Tahoma" w:cs="Tahoma"/>
      <w:sz w:val="16"/>
      <w:szCs w:val="16"/>
    </w:rPr>
  </w:style>
  <w:style w:type="character" w:customStyle="1" w:styleId="BalloonTextChar">
    <w:name w:val="Balloon Text Char"/>
    <w:basedOn w:val="DefaultParagraphFont"/>
    <w:link w:val="BalloonText"/>
    <w:uiPriority w:val="99"/>
    <w:semiHidden/>
    <w:rsid w:val="009758DE"/>
    <w:rPr>
      <w:rFonts w:ascii="Tahoma" w:hAnsi="Tahoma" w:cs="Tahoma"/>
      <w:sz w:val="16"/>
      <w:szCs w:val="16"/>
    </w:rPr>
  </w:style>
  <w:style w:type="paragraph" w:styleId="Header">
    <w:name w:val="header"/>
    <w:basedOn w:val="Normal"/>
    <w:link w:val="HeaderChar"/>
    <w:uiPriority w:val="99"/>
    <w:semiHidden/>
    <w:unhideWhenUsed/>
    <w:rsid w:val="009758DE"/>
    <w:pPr>
      <w:tabs>
        <w:tab w:val="center" w:pos="4680"/>
        <w:tab w:val="right" w:pos="9360"/>
      </w:tabs>
    </w:pPr>
  </w:style>
  <w:style w:type="character" w:customStyle="1" w:styleId="HeaderChar">
    <w:name w:val="Header Char"/>
    <w:basedOn w:val="DefaultParagraphFont"/>
    <w:link w:val="Header"/>
    <w:uiPriority w:val="99"/>
    <w:semiHidden/>
    <w:rsid w:val="009758DE"/>
    <w:rPr>
      <w:rFonts w:ascii="Calibri" w:hAnsi="Calibri"/>
      <w:sz w:val="22"/>
      <w:szCs w:val="22"/>
    </w:rPr>
  </w:style>
  <w:style w:type="paragraph" w:styleId="Footer">
    <w:name w:val="footer"/>
    <w:basedOn w:val="Normal"/>
    <w:link w:val="FooterChar"/>
    <w:uiPriority w:val="99"/>
    <w:unhideWhenUsed/>
    <w:rsid w:val="009758DE"/>
    <w:pPr>
      <w:tabs>
        <w:tab w:val="center" w:pos="4680"/>
        <w:tab w:val="right" w:pos="9360"/>
      </w:tabs>
    </w:pPr>
  </w:style>
  <w:style w:type="character" w:customStyle="1" w:styleId="FooterChar">
    <w:name w:val="Footer Char"/>
    <w:basedOn w:val="DefaultParagraphFont"/>
    <w:link w:val="Footer"/>
    <w:uiPriority w:val="99"/>
    <w:rsid w:val="009758D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C9"/>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3CC9"/>
    <w:rPr>
      <w:szCs w:val="20"/>
    </w:rPr>
  </w:style>
  <w:style w:type="character" w:customStyle="1" w:styleId="FootnoteTextChar">
    <w:name w:val="Footnote Text Char"/>
    <w:basedOn w:val="DefaultParagraphFont"/>
    <w:link w:val="FootnoteText"/>
    <w:uiPriority w:val="99"/>
    <w:rsid w:val="000C3CC9"/>
    <w:rPr>
      <w:rFonts w:ascii="Calibri" w:hAnsi="Calibri"/>
      <w:sz w:val="22"/>
      <w:szCs w:val="20"/>
    </w:rPr>
  </w:style>
  <w:style w:type="character" w:styleId="FootnoteReference">
    <w:name w:val="footnote reference"/>
    <w:basedOn w:val="DefaultParagraphFont"/>
    <w:uiPriority w:val="99"/>
    <w:unhideWhenUsed/>
    <w:rsid w:val="000C3CC9"/>
    <w:rPr>
      <w:rFonts w:ascii="Times New Roman" w:hAnsi="Times New Roman"/>
      <w:b w:val="0"/>
      <w:i w:val="0"/>
      <w:sz w:val="24"/>
      <w:vertAlign w:val="superscript"/>
    </w:rPr>
  </w:style>
  <w:style w:type="paragraph" w:styleId="ListParagraph">
    <w:name w:val="List Paragraph"/>
    <w:basedOn w:val="Normal"/>
    <w:uiPriority w:val="34"/>
    <w:qFormat/>
    <w:rsid w:val="000C3CC9"/>
    <w:pPr>
      <w:ind w:left="720"/>
      <w:contextualSpacing/>
    </w:pPr>
    <w:rPr>
      <w:rFonts w:ascii="Times New Roman" w:hAnsi="Times New Roman"/>
      <w:sz w:val="24"/>
      <w:szCs w:val="24"/>
    </w:rPr>
  </w:style>
  <w:style w:type="paragraph" w:customStyle="1" w:styleId="Default">
    <w:name w:val="Default"/>
    <w:rsid w:val="000C3CC9"/>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FE19E1"/>
    <w:rPr>
      <w:color w:val="0563C1" w:themeColor="hyperlink"/>
      <w:u w:val="single"/>
    </w:rPr>
  </w:style>
  <w:style w:type="paragraph" w:styleId="BalloonText">
    <w:name w:val="Balloon Text"/>
    <w:basedOn w:val="Normal"/>
    <w:link w:val="BalloonTextChar"/>
    <w:uiPriority w:val="99"/>
    <w:semiHidden/>
    <w:unhideWhenUsed/>
    <w:rsid w:val="009758DE"/>
    <w:rPr>
      <w:rFonts w:ascii="Tahoma" w:hAnsi="Tahoma" w:cs="Tahoma"/>
      <w:sz w:val="16"/>
      <w:szCs w:val="16"/>
    </w:rPr>
  </w:style>
  <w:style w:type="character" w:customStyle="1" w:styleId="BalloonTextChar">
    <w:name w:val="Balloon Text Char"/>
    <w:basedOn w:val="DefaultParagraphFont"/>
    <w:link w:val="BalloonText"/>
    <w:uiPriority w:val="99"/>
    <w:semiHidden/>
    <w:rsid w:val="009758DE"/>
    <w:rPr>
      <w:rFonts w:ascii="Tahoma" w:hAnsi="Tahoma" w:cs="Tahoma"/>
      <w:sz w:val="16"/>
      <w:szCs w:val="16"/>
    </w:rPr>
  </w:style>
  <w:style w:type="paragraph" w:styleId="Header">
    <w:name w:val="header"/>
    <w:basedOn w:val="Normal"/>
    <w:link w:val="HeaderChar"/>
    <w:uiPriority w:val="99"/>
    <w:semiHidden/>
    <w:unhideWhenUsed/>
    <w:rsid w:val="009758DE"/>
    <w:pPr>
      <w:tabs>
        <w:tab w:val="center" w:pos="4680"/>
        <w:tab w:val="right" w:pos="9360"/>
      </w:tabs>
    </w:pPr>
  </w:style>
  <w:style w:type="character" w:customStyle="1" w:styleId="HeaderChar">
    <w:name w:val="Header Char"/>
    <w:basedOn w:val="DefaultParagraphFont"/>
    <w:link w:val="Header"/>
    <w:uiPriority w:val="99"/>
    <w:semiHidden/>
    <w:rsid w:val="009758DE"/>
    <w:rPr>
      <w:rFonts w:ascii="Calibri" w:hAnsi="Calibri"/>
      <w:sz w:val="22"/>
      <w:szCs w:val="22"/>
    </w:rPr>
  </w:style>
  <w:style w:type="paragraph" w:styleId="Footer">
    <w:name w:val="footer"/>
    <w:basedOn w:val="Normal"/>
    <w:link w:val="FooterChar"/>
    <w:uiPriority w:val="99"/>
    <w:unhideWhenUsed/>
    <w:rsid w:val="009758DE"/>
    <w:pPr>
      <w:tabs>
        <w:tab w:val="center" w:pos="4680"/>
        <w:tab w:val="right" w:pos="9360"/>
      </w:tabs>
    </w:pPr>
  </w:style>
  <w:style w:type="character" w:customStyle="1" w:styleId="FooterChar">
    <w:name w:val="Footer Char"/>
    <w:basedOn w:val="DefaultParagraphFont"/>
    <w:link w:val="Footer"/>
    <w:uiPriority w:val="99"/>
    <w:rsid w:val="009758D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pinski@mach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Metz Kasemeyer</dc:creator>
  <cp:lastModifiedBy>Aneeqa</cp:lastModifiedBy>
  <cp:revision>2</cp:revision>
  <dcterms:created xsi:type="dcterms:W3CDTF">2015-07-30T16:58:00Z</dcterms:created>
  <dcterms:modified xsi:type="dcterms:W3CDTF">2015-07-30T16:58:00Z</dcterms:modified>
</cp:coreProperties>
</file>