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601FC" w14:textId="77777777" w:rsidR="00A916DE" w:rsidRDefault="00A916DE" w:rsidP="005A4B1C">
      <w:pPr>
        <w:spacing w:after="0"/>
        <w:rPr>
          <w:rFonts w:ascii="Tahoma" w:hAnsi="Tahoma" w:cs="Tahoma"/>
          <w:color w:val="000000"/>
          <w:sz w:val="20"/>
          <w:szCs w:val="20"/>
        </w:rPr>
        <w:sectPr w:rsidR="00A916DE" w:rsidSect="0059075F">
          <w:headerReference w:type="first" r:id="rId8"/>
          <w:pgSz w:w="12240" w:h="15840"/>
          <w:pgMar w:top="1440" w:right="1440" w:bottom="1440" w:left="1440" w:header="720" w:footer="720" w:gutter="0"/>
          <w:cols w:space="720"/>
          <w:titlePg/>
          <w:docGrid w:linePitch="360"/>
        </w:sectPr>
      </w:pPr>
    </w:p>
    <w:p w14:paraId="506CB41A" w14:textId="0FBDFCE3" w:rsidR="00516F1C" w:rsidRPr="00516F1C" w:rsidRDefault="00723B71" w:rsidP="00516F1C">
      <w:pPr>
        <w:tabs>
          <w:tab w:val="left" w:pos="677"/>
          <w:tab w:val="left" w:pos="1448"/>
        </w:tabs>
        <w:suppressAutoHyphens/>
        <w:spacing w:after="0"/>
        <w:rPr>
          <w:rFonts w:cs="Calibri"/>
          <w:iCs/>
          <w:sz w:val="24"/>
          <w:szCs w:val="24"/>
        </w:rPr>
      </w:pPr>
      <w:r>
        <w:rPr>
          <w:rFonts w:cs="Calibri"/>
          <w:iCs/>
          <w:sz w:val="24"/>
          <w:szCs w:val="24"/>
        </w:rPr>
        <w:lastRenderedPageBreak/>
        <w:t>July</w:t>
      </w:r>
      <w:r w:rsidR="0093707C">
        <w:rPr>
          <w:rFonts w:cs="Calibri"/>
          <w:iCs/>
          <w:sz w:val="24"/>
          <w:szCs w:val="24"/>
        </w:rPr>
        <w:t xml:space="preserve"> </w:t>
      </w:r>
      <w:r w:rsidR="00D3108A">
        <w:rPr>
          <w:rFonts w:cs="Calibri"/>
          <w:iCs/>
          <w:sz w:val="24"/>
          <w:szCs w:val="24"/>
        </w:rPr>
        <w:t>18</w:t>
      </w:r>
      <w:r w:rsidR="00516F1C" w:rsidRPr="00516F1C">
        <w:rPr>
          <w:rFonts w:cs="Calibri"/>
          <w:iCs/>
          <w:sz w:val="24"/>
          <w:szCs w:val="24"/>
        </w:rPr>
        <w:t xml:space="preserve">, 2016 </w:t>
      </w:r>
    </w:p>
    <w:p w14:paraId="75463437" w14:textId="77777777" w:rsidR="00516F1C" w:rsidRPr="00516F1C" w:rsidRDefault="00516F1C" w:rsidP="00516F1C">
      <w:pPr>
        <w:tabs>
          <w:tab w:val="left" w:pos="677"/>
          <w:tab w:val="left" w:pos="1448"/>
        </w:tabs>
        <w:suppressAutoHyphens/>
        <w:spacing w:after="0"/>
        <w:rPr>
          <w:rFonts w:cs="Calibri"/>
          <w:iCs/>
          <w:sz w:val="24"/>
          <w:szCs w:val="24"/>
        </w:rPr>
      </w:pPr>
    </w:p>
    <w:p w14:paraId="3B66D679" w14:textId="49D09B3A" w:rsidR="00516F1C" w:rsidRPr="00516F1C" w:rsidRDefault="00516F1C" w:rsidP="00516F1C">
      <w:pPr>
        <w:tabs>
          <w:tab w:val="left" w:pos="677"/>
          <w:tab w:val="left" w:pos="1448"/>
        </w:tabs>
        <w:suppressAutoHyphens/>
        <w:spacing w:after="0"/>
        <w:rPr>
          <w:rFonts w:cs="Calibri"/>
          <w:sz w:val="24"/>
          <w:szCs w:val="24"/>
          <w:lang w:val="en-GB" w:eastAsia="ar-SA"/>
        </w:rPr>
      </w:pPr>
      <w:r w:rsidRPr="00516F1C">
        <w:rPr>
          <w:rFonts w:cs="Calibri"/>
          <w:iCs/>
          <w:sz w:val="24"/>
          <w:szCs w:val="24"/>
        </w:rPr>
        <w:t xml:space="preserve">Senator </w:t>
      </w:r>
      <w:r w:rsidR="00E40CC6">
        <w:rPr>
          <w:rFonts w:cs="Calibri"/>
          <w:iCs/>
          <w:sz w:val="24"/>
          <w:szCs w:val="24"/>
        </w:rPr>
        <w:t>Ricardo Lara</w:t>
      </w:r>
    </w:p>
    <w:p w14:paraId="733EB8F8" w14:textId="70BD618A" w:rsidR="00516F1C" w:rsidRPr="00516F1C" w:rsidRDefault="00516F1C" w:rsidP="00516F1C">
      <w:pPr>
        <w:tabs>
          <w:tab w:val="left" w:pos="677"/>
          <w:tab w:val="left" w:pos="1448"/>
        </w:tabs>
        <w:suppressAutoHyphens/>
        <w:spacing w:after="0"/>
        <w:rPr>
          <w:rFonts w:cs="Calibri"/>
          <w:sz w:val="24"/>
          <w:szCs w:val="24"/>
          <w:lang w:val="en-GB" w:eastAsia="ar-SA"/>
        </w:rPr>
      </w:pPr>
      <w:r w:rsidRPr="00516F1C">
        <w:rPr>
          <w:rFonts w:cs="Calibri"/>
          <w:sz w:val="24"/>
          <w:szCs w:val="24"/>
          <w:lang w:val="en-GB" w:eastAsia="ar-SA"/>
        </w:rPr>
        <w:t>California State Senate</w:t>
      </w:r>
    </w:p>
    <w:p w14:paraId="484AFA34" w14:textId="3F981E40" w:rsidR="00516F1C" w:rsidRPr="00516F1C" w:rsidRDefault="00516F1C" w:rsidP="00516F1C">
      <w:pPr>
        <w:tabs>
          <w:tab w:val="left" w:pos="677"/>
          <w:tab w:val="left" w:pos="1448"/>
        </w:tabs>
        <w:suppressAutoHyphens/>
        <w:spacing w:after="0"/>
        <w:rPr>
          <w:rFonts w:cs="Calibri"/>
          <w:sz w:val="24"/>
          <w:szCs w:val="24"/>
          <w:lang w:eastAsia="ar-SA"/>
        </w:rPr>
      </w:pPr>
      <w:r w:rsidRPr="00516F1C">
        <w:rPr>
          <w:rFonts w:cs="Calibri"/>
          <w:sz w:val="24"/>
          <w:szCs w:val="24"/>
          <w:lang w:eastAsia="ar-SA"/>
        </w:rPr>
        <w:t xml:space="preserve">State Capitol Room </w:t>
      </w:r>
      <w:r w:rsidR="00E40CC6">
        <w:rPr>
          <w:rFonts w:cs="Calibri"/>
          <w:sz w:val="24"/>
          <w:szCs w:val="24"/>
          <w:lang w:eastAsia="ar-SA"/>
        </w:rPr>
        <w:t>5050</w:t>
      </w:r>
    </w:p>
    <w:p w14:paraId="266DAA3A" w14:textId="4121AC48" w:rsidR="00516F1C" w:rsidRPr="00516F1C" w:rsidRDefault="00516F1C" w:rsidP="00516F1C">
      <w:pPr>
        <w:tabs>
          <w:tab w:val="left" w:pos="677"/>
          <w:tab w:val="left" w:pos="1448"/>
        </w:tabs>
        <w:suppressAutoHyphens/>
        <w:spacing w:after="0"/>
        <w:rPr>
          <w:rFonts w:cs="Calibri"/>
          <w:sz w:val="24"/>
          <w:szCs w:val="24"/>
          <w:lang w:eastAsia="ar-SA"/>
        </w:rPr>
      </w:pPr>
      <w:r w:rsidRPr="00516F1C">
        <w:rPr>
          <w:rFonts w:cs="Calibri"/>
          <w:sz w:val="24"/>
          <w:szCs w:val="24"/>
          <w:lang w:eastAsia="ar-SA"/>
        </w:rPr>
        <w:t>Sacramento, CA 95814</w:t>
      </w:r>
    </w:p>
    <w:p w14:paraId="43DB22B1" w14:textId="77777777" w:rsidR="00516F1C" w:rsidRPr="00516F1C" w:rsidRDefault="00516F1C" w:rsidP="00516F1C">
      <w:pPr>
        <w:tabs>
          <w:tab w:val="left" w:pos="677"/>
          <w:tab w:val="left" w:pos="1448"/>
        </w:tabs>
        <w:rPr>
          <w:rFonts w:cs="Calibri"/>
          <w:b/>
          <w:sz w:val="24"/>
          <w:szCs w:val="24"/>
          <w:lang w:eastAsia="ar-SA"/>
        </w:rPr>
      </w:pPr>
    </w:p>
    <w:p w14:paraId="1A6F3719" w14:textId="7DCE1EC3" w:rsidR="00516F1C" w:rsidRPr="00516F1C" w:rsidRDefault="00516F1C" w:rsidP="00516F1C">
      <w:pPr>
        <w:tabs>
          <w:tab w:val="left" w:pos="677"/>
          <w:tab w:val="left" w:pos="1448"/>
        </w:tabs>
        <w:rPr>
          <w:rFonts w:cs="Calibri"/>
          <w:b/>
          <w:sz w:val="24"/>
          <w:szCs w:val="24"/>
          <w:lang w:eastAsia="ar-SA"/>
        </w:rPr>
      </w:pPr>
      <w:r w:rsidRPr="00516F1C">
        <w:rPr>
          <w:rFonts w:cs="Calibri"/>
          <w:b/>
          <w:sz w:val="24"/>
          <w:szCs w:val="24"/>
          <w:lang w:eastAsia="ar-SA"/>
        </w:rPr>
        <w:t xml:space="preserve">Re: </w:t>
      </w:r>
      <w:r w:rsidR="00F37442">
        <w:rPr>
          <w:rFonts w:cs="Calibri"/>
          <w:b/>
          <w:sz w:val="24"/>
          <w:szCs w:val="24"/>
          <w:lang w:eastAsia="ar-SA"/>
        </w:rPr>
        <w:t>Assembly</w:t>
      </w:r>
      <w:r w:rsidRPr="00516F1C">
        <w:rPr>
          <w:rFonts w:cs="Calibri"/>
          <w:b/>
          <w:sz w:val="24"/>
          <w:szCs w:val="24"/>
          <w:lang w:eastAsia="ar-SA"/>
        </w:rPr>
        <w:t xml:space="preserve"> Bill </w:t>
      </w:r>
      <w:r w:rsidR="00F37442">
        <w:rPr>
          <w:rFonts w:cs="Calibri"/>
          <w:b/>
          <w:sz w:val="24"/>
          <w:szCs w:val="24"/>
          <w:lang w:eastAsia="ar-SA"/>
        </w:rPr>
        <w:t>2192</w:t>
      </w:r>
      <w:r w:rsidR="00A917DD">
        <w:rPr>
          <w:rFonts w:cs="Calibri"/>
          <w:b/>
          <w:sz w:val="24"/>
          <w:szCs w:val="24"/>
          <w:lang w:eastAsia="ar-SA"/>
        </w:rPr>
        <w:t xml:space="preserve"> - </w:t>
      </w:r>
      <w:r w:rsidRPr="00516F1C">
        <w:rPr>
          <w:rFonts w:cs="Calibri"/>
          <w:b/>
          <w:sz w:val="24"/>
          <w:szCs w:val="24"/>
          <w:lang w:eastAsia="ar-SA"/>
        </w:rPr>
        <w:t xml:space="preserve">Support </w:t>
      </w:r>
    </w:p>
    <w:p w14:paraId="4A2533E4" w14:textId="2AC00749" w:rsidR="00516F1C" w:rsidRPr="00516F1C" w:rsidRDefault="00516F1C" w:rsidP="00516F1C">
      <w:pPr>
        <w:tabs>
          <w:tab w:val="left" w:pos="677"/>
          <w:tab w:val="left" w:pos="1448"/>
        </w:tabs>
        <w:rPr>
          <w:rFonts w:cs="Calibri"/>
          <w:sz w:val="24"/>
          <w:szCs w:val="24"/>
          <w:lang w:eastAsia="ar-SA"/>
        </w:rPr>
      </w:pPr>
      <w:r w:rsidRPr="00516F1C">
        <w:rPr>
          <w:rFonts w:cs="Calibri"/>
          <w:sz w:val="24"/>
          <w:szCs w:val="24"/>
          <w:lang w:eastAsia="ar-SA"/>
        </w:rPr>
        <w:t xml:space="preserve">Dear Senator </w:t>
      </w:r>
      <w:r w:rsidR="0093707C">
        <w:rPr>
          <w:rFonts w:cs="Calibri"/>
          <w:sz w:val="24"/>
          <w:szCs w:val="24"/>
          <w:lang w:eastAsia="ar-SA"/>
        </w:rPr>
        <w:t>Lara</w:t>
      </w:r>
      <w:r w:rsidRPr="00516F1C">
        <w:rPr>
          <w:rFonts w:cs="Calibri"/>
          <w:sz w:val="24"/>
          <w:szCs w:val="24"/>
          <w:lang w:eastAsia="ar-SA"/>
        </w:rPr>
        <w:t xml:space="preserve">, </w:t>
      </w:r>
    </w:p>
    <w:p w14:paraId="28B1FCA7" w14:textId="283FDA4C" w:rsidR="00516F1C" w:rsidRPr="00516F1C" w:rsidRDefault="00516F1C" w:rsidP="00516F1C">
      <w:pPr>
        <w:spacing w:after="0"/>
        <w:rPr>
          <w:rFonts w:cs="Tahoma"/>
          <w:color w:val="000000"/>
          <w:sz w:val="24"/>
          <w:szCs w:val="24"/>
        </w:rPr>
      </w:pPr>
      <w:r w:rsidRPr="00516F1C">
        <w:rPr>
          <w:rFonts w:cs="Tahoma"/>
          <w:color w:val="000000"/>
          <w:sz w:val="24"/>
          <w:szCs w:val="24"/>
        </w:rPr>
        <w:t xml:space="preserve">On behalf of </w:t>
      </w:r>
      <w:r w:rsidR="00BE1828" w:rsidRPr="00BE1828">
        <w:rPr>
          <w:rFonts w:cs="Tahoma"/>
          <w:color w:val="000000"/>
          <w:sz w:val="24"/>
          <w:szCs w:val="24"/>
          <w:highlight w:val="red"/>
        </w:rPr>
        <w:t>[your organization name]</w:t>
      </w:r>
      <w:r w:rsidR="00BE1828">
        <w:rPr>
          <w:rFonts w:cs="Tahoma"/>
          <w:color w:val="000000"/>
          <w:sz w:val="24"/>
          <w:szCs w:val="24"/>
        </w:rPr>
        <w:t>,</w:t>
      </w:r>
      <w:r w:rsidRPr="00516F1C">
        <w:rPr>
          <w:rFonts w:cs="Tahoma"/>
          <w:color w:val="000000"/>
          <w:sz w:val="24"/>
          <w:szCs w:val="24"/>
        </w:rPr>
        <w:t xml:space="preserve"> I write </w:t>
      </w:r>
      <w:r w:rsidR="0093707C">
        <w:rPr>
          <w:rFonts w:cs="Tahoma"/>
          <w:color w:val="000000"/>
          <w:sz w:val="24"/>
          <w:szCs w:val="24"/>
        </w:rPr>
        <w:t>to offer our strong support of A</w:t>
      </w:r>
      <w:r w:rsidRPr="00516F1C">
        <w:rPr>
          <w:rFonts w:cs="Tahoma"/>
          <w:color w:val="000000"/>
          <w:sz w:val="24"/>
          <w:szCs w:val="24"/>
        </w:rPr>
        <w:t>B</w:t>
      </w:r>
      <w:r w:rsidR="0093707C">
        <w:rPr>
          <w:rFonts w:cs="Tahoma"/>
          <w:color w:val="000000"/>
          <w:sz w:val="24"/>
          <w:szCs w:val="24"/>
        </w:rPr>
        <w:t xml:space="preserve"> 2192</w:t>
      </w:r>
      <w:r w:rsidRPr="00516F1C">
        <w:rPr>
          <w:rFonts w:cs="Tahoma"/>
          <w:color w:val="000000"/>
          <w:sz w:val="24"/>
          <w:szCs w:val="24"/>
        </w:rPr>
        <w:t>.</w:t>
      </w:r>
      <w:r w:rsidR="00A917DD">
        <w:rPr>
          <w:rFonts w:cs="Tahoma"/>
          <w:color w:val="000000"/>
          <w:sz w:val="24"/>
          <w:szCs w:val="24"/>
        </w:rPr>
        <w:t xml:space="preserve"> Reauthorization of the Transcript Reimbursement Fund is crucial to ensuring that low-income litigants receive equal access to justice.</w:t>
      </w:r>
    </w:p>
    <w:p w14:paraId="4F3662C4" w14:textId="77777777" w:rsidR="00516F1C" w:rsidRPr="00516F1C" w:rsidRDefault="00516F1C" w:rsidP="00516F1C">
      <w:pPr>
        <w:spacing w:after="0"/>
        <w:rPr>
          <w:rFonts w:cs="Tahoma"/>
          <w:color w:val="000000"/>
          <w:sz w:val="24"/>
          <w:szCs w:val="24"/>
        </w:rPr>
      </w:pPr>
    </w:p>
    <w:p w14:paraId="44771D75" w14:textId="5EF67AFE" w:rsidR="00516F1C" w:rsidRDefault="00BE1828" w:rsidP="00516F1C">
      <w:pPr>
        <w:jc w:val="both"/>
        <w:rPr>
          <w:rFonts w:cs="Tahoma"/>
          <w:color w:val="000000"/>
          <w:sz w:val="24"/>
          <w:szCs w:val="24"/>
        </w:rPr>
      </w:pPr>
      <w:r w:rsidRPr="00BE1828">
        <w:rPr>
          <w:rFonts w:cs="Tahoma"/>
          <w:color w:val="000000"/>
          <w:sz w:val="24"/>
          <w:szCs w:val="24"/>
          <w:highlight w:val="red"/>
        </w:rPr>
        <w:t>[</w:t>
      </w:r>
      <w:proofErr w:type="gramStart"/>
      <w:r w:rsidRPr="00BE1828">
        <w:rPr>
          <w:rFonts w:cs="Tahoma"/>
          <w:color w:val="000000"/>
          <w:sz w:val="24"/>
          <w:szCs w:val="24"/>
          <w:highlight w:val="red"/>
        </w:rPr>
        <w:t>insert</w:t>
      </w:r>
      <w:proofErr w:type="gramEnd"/>
      <w:r w:rsidRPr="00BE1828">
        <w:rPr>
          <w:rFonts w:cs="Tahoma"/>
          <w:color w:val="000000"/>
          <w:sz w:val="24"/>
          <w:szCs w:val="24"/>
          <w:highlight w:val="red"/>
        </w:rPr>
        <w:t xml:space="preserve"> your organizational statement of interest/mission statement]</w:t>
      </w:r>
    </w:p>
    <w:p w14:paraId="02AE908F" w14:textId="30D949E7" w:rsidR="00E40CC6" w:rsidRDefault="00D3108A" w:rsidP="00516F1C">
      <w:pPr>
        <w:jc w:val="both"/>
        <w:rPr>
          <w:rFonts w:cs="Tahoma"/>
          <w:color w:val="000000"/>
          <w:sz w:val="24"/>
          <w:szCs w:val="24"/>
        </w:rPr>
      </w:pPr>
      <w:r>
        <w:rPr>
          <w:rFonts w:cs="Tahoma"/>
          <w:color w:val="000000"/>
          <w:sz w:val="24"/>
          <w:szCs w:val="24"/>
        </w:rPr>
        <w:t>The Trans</w:t>
      </w:r>
      <w:r w:rsidR="00E40CC6">
        <w:rPr>
          <w:rFonts w:cs="Tahoma"/>
          <w:color w:val="000000"/>
          <w:sz w:val="24"/>
          <w:szCs w:val="24"/>
        </w:rPr>
        <w:t>cript Reimbursement Fund allows for the reimbursement of court transcript costs, both to low-income, self-represented litigants and to legal aid organizations representing low-income clients.</w:t>
      </w:r>
      <w:r>
        <w:rPr>
          <w:rFonts w:cs="Tahoma"/>
          <w:color w:val="000000"/>
          <w:sz w:val="24"/>
          <w:szCs w:val="24"/>
        </w:rPr>
        <w:t xml:space="preserve"> </w:t>
      </w:r>
      <w:r w:rsidR="00E40CC6">
        <w:rPr>
          <w:rFonts w:cs="Tahoma"/>
          <w:color w:val="000000"/>
          <w:sz w:val="24"/>
          <w:szCs w:val="24"/>
        </w:rPr>
        <w:t xml:space="preserve">For low-income litigants, affording court and deposition transcripts is impossible. For the resource-starved legal aid organizations representing those clients, covering transcript costs is a huge burden. But having a written record of court proceedings is an essential component of access to justice.  In cases ranging from saving a low-income tenant from an eviction, to obtaining protection from an abuser, the availability of a court transcript can be outcome determinative. </w:t>
      </w:r>
    </w:p>
    <w:p w14:paraId="1AF4DE6A" w14:textId="3F054487" w:rsidR="00BE1828" w:rsidRDefault="00BE1828" w:rsidP="00516F1C">
      <w:pPr>
        <w:jc w:val="both"/>
        <w:rPr>
          <w:rFonts w:cs="Tahoma"/>
          <w:color w:val="000000"/>
          <w:sz w:val="24"/>
          <w:szCs w:val="24"/>
        </w:rPr>
      </w:pPr>
      <w:r w:rsidRPr="00BE1828">
        <w:rPr>
          <w:rFonts w:cs="Tahoma"/>
          <w:color w:val="000000"/>
          <w:sz w:val="24"/>
          <w:szCs w:val="24"/>
          <w:highlight w:val="red"/>
        </w:rPr>
        <w:t>[</w:t>
      </w:r>
      <w:proofErr w:type="gramStart"/>
      <w:r w:rsidRPr="00BE1828">
        <w:rPr>
          <w:rFonts w:cs="Tahoma"/>
          <w:color w:val="000000"/>
          <w:sz w:val="24"/>
          <w:szCs w:val="24"/>
          <w:highlight w:val="red"/>
        </w:rPr>
        <w:t>insert</w:t>
      </w:r>
      <w:proofErr w:type="gramEnd"/>
      <w:r w:rsidRPr="00BE1828">
        <w:rPr>
          <w:rFonts w:cs="Tahoma"/>
          <w:color w:val="000000"/>
          <w:sz w:val="24"/>
          <w:szCs w:val="24"/>
          <w:highlight w:val="red"/>
        </w:rPr>
        <w:t xml:space="preserve"> if you use it, how often, if your pro bono counsel uses it, etc.]</w:t>
      </w:r>
    </w:p>
    <w:p w14:paraId="488F4339" w14:textId="77777777" w:rsidR="00E40CC6" w:rsidRDefault="00D3108A" w:rsidP="00516F1C">
      <w:pPr>
        <w:jc w:val="both"/>
        <w:rPr>
          <w:rFonts w:cs="Tahoma"/>
          <w:color w:val="000000"/>
          <w:sz w:val="24"/>
          <w:szCs w:val="24"/>
        </w:rPr>
      </w:pPr>
      <w:r>
        <w:rPr>
          <w:rFonts w:cs="Tahoma"/>
          <w:color w:val="000000"/>
          <w:sz w:val="24"/>
          <w:szCs w:val="24"/>
        </w:rPr>
        <w:t xml:space="preserve">Unless AB2192 is passed, this crucial resource will disappear. </w:t>
      </w:r>
    </w:p>
    <w:p w14:paraId="5822E320" w14:textId="1C633037" w:rsidR="000136F7" w:rsidRDefault="00E40CC6" w:rsidP="00516F1C">
      <w:pPr>
        <w:jc w:val="both"/>
        <w:rPr>
          <w:rFonts w:cs="Tahoma"/>
          <w:color w:val="000000"/>
          <w:sz w:val="24"/>
          <w:szCs w:val="24"/>
        </w:rPr>
      </w:pPr>
      <w:r>
        <w:rPr>
          <w:rFonts w:cs="Tahoma"/>
          <w:color w:val="000000"/>
          <w:sz w:val="24"/>
          <w:szCs w:val="24"/>
        </w:rPr>
        <w:t xml:space="preserve">Access to court transcripts is instrumental to litigants both at the trial and appellate court levels. At the trial court level, </w:t>
      </w:r>
      <w:r w:rsidR="00E97AAD">
        <w:rPr>
          <w:rFonts w:cs="Tahoma"/>
          <w:color w:val="000000"/>
          <w:sz w:val="24"/>
          <w:szCs w:val="24"/>
        </w:rPr>
        <w:t>the absence of a</w:t>
      </w:r>
      <w:r w:rsidR="00265244">
        <w:rPr>
          <w:rFonts w:cs="Tahoma"/>
          <w:color w:val="000000"/>
          <w:sz w:val="24"/>
          <w:szCs w:val="24"/>
        </w:rPr>
        <w:t xml:space="preserve"> court transcript can mean being denied an effective court order entirely. At the appellate level, preventing low-</w:t>
      </w:r>
      <w:r w:rsidR="000136F7">
        <w:rPr>
          <w:rFonts w:cs="Tahoma"/>
          <w:color w:val="000000"/>
          <w:sz w:val="24"/>
          <w:szCs w:val="24"/>
        </w:rPr>
        <w:t xml:space="preserve">income </w:t>
      </w:r>
      <w:r w:rsidR="00D3108A">
        <w:rPr>
          <w:rFonts w:cs="Tahoma"/>
          <w:color w:val="000000"/>
          <w:sz w:val="24"/>
          <w:szCs w:val="24"/>
        </w:rPr>
        <w:t xml:space="preserve">litigants </w:t>
      </w:r>
      <w:r w:rsidR="000136F7">
        <w:rPr>
          <w:rFonts w:cs="Tahoma"/>
          <w:color w:val="000000"/>
          <w:sz w:val="24"/>
          <w:szCs w:val="24"/>
        </w:rPr>
        <w:t xml:space="preserve">from having access to court transcripts effectively precludes </w:t>
      </w:r>
      <w:r w:rsidR="00E97AAD">
        <w:rPr>
          <w:rFonts w:cs="Tahoma"/>
          <w:color w:val="000000"/>
          <w:sz w:val="24"/>
          <w:szCs w:val="24"/>
        </w:rPr>
        <w:t xml:space="preserve">review of </w:t>
      </w:r>
      <w:r w:rsidR="000136F7">
        <w:rPr>
          <w:rFonts w:cs="Tahoma"/>
          <w:color w:val="000000"/>
          <w:sz w:val="24"/>
          <w:szCs w:val="24"/>
        </w:rPr>
        <w:t xml:space="preserve">adverse rulings. </w:t>
      </w:r>
      <w:r w:rsidR="00265244">
        <w:rPr>
          <w:rFonts w:cs="Tahoma"/>
          <w:color w:val="000000"/>
          <w:sz w:val="24"/>
          <w:szCs w:val="24"/>
        </w:rPr>
        <w:t xml:space="preserve">In either case, low-income </w:t>
      </w:r>
      <w:r w:rsidR="00E97AAD">
        <w:rPr>
          <w:rFonts w:cs="Tahoma"/>
          <w:color w:val="000000"/>
          <w:sz w:val="24"/>
          <w:szCs w:val="24"/>
        </w:rPr>
        <w:t>litigants are</w:t>
      </w:r>
      <w:r w:rsidR="00265244">
        <w:rPr>
          <w:rFonts w:cs="Tahoma"/>
          <w:color w:val="000000"/>
          <w:sz w:val="24"/>
          <w:szCs w:val="24"/>
        </w:rPr>
        <w:t xml:space="preserve"> denied</w:t>
      </w:r>
      <w:r w:rsidR="000136F7">
        <w:rPr>
          <w:rFonts w:cs="Tahoma"/>
          <w:color w:val="000000"/>
          <w:sz w:val="24"/>
          <w:szCs w:val="24"/>
        </w:rPr>
        <w:t xml:space="preserve"> equal justice under the law.</w:t>
      </w:r>
    </w:p>
    <w:p w14:paraId="7A64658E" w14:textId="78DDAD88" w:rsidR="00265244" w:rsidRDefault="00265244" w:rsidP="00516F1C">
      <w:pPr>
        <w:jc w:val="both"/>
        <w:rPr>
          <w:rFonts w:cs="Tahoma"/>
          <w:color w:val="000000"/>
          <w:sz w:val="24"/>
          <w:szCs w:val="24"/>
        </w:rPr>
      </w:pPr>
      <w:r>
        <w:rPr>
          <w:rFonts w:cs="Tahoma"/>
          <w:color w:val="000000"/>
          <w:sz w:val="24"/>
          <w:szCs w:val="24"/>
        </w:rPr>
        <w:t xml:space="preserve">In many family law cases, as well as other civil cases, the trial court may request that the litigant draft an order based on the judge’s ruling from the bench. Without any record of what was </w:t>
      </w:r>
      <w:r>
        <w:rPr>
          <w:rFonts w:cs="Tahoma"/>
          <w:color w:val="000000"/>
          <w:sz w:val="24"/>
          <w:szCs w:val="24"/>
        </w:rPr>
        <w:lastRenderedPageBreak/>
        <w:t xml:space="preserve">said, unrepresented litigants have extreme difficulty reconstructing what occurred, often not understanding it in the first place. This puts them at a huge disadvantage. </w:t>
      </w:r>
    </w:p>
    <w:p w14:paraId="33FB134C" w14:textId="61B6B857" w:rsidR="008B5ABC" w:rsidRDefault="00265244" w:rsidP="00516F1C">
      <w:pPr>
        <w:jc w:val="both"/>
        <w:rPr>
          <w:rFonts w:cs="Tahoma"/>
          <w:color w:val="000000"/>
          <w:sz w:val="24"/>
          <w:szCs w:val="24"/>
        </w:rPr>
      </w:pPr>
      <w:r>
        <w:rPr>
          <w:rFonts w:cs="Tahoma"/>
          <w:color w:val="000000"/>
          <w:sz w:val="24"/>
          <w:szCs w:val="24"/>
        </w:rPr>
        <w:t>Perhaps even more importantly, a written</w:t>
      </w:r>
      <w:r w:rsidR="005E68E8">
        <w:rPr>
          <w:rFonts w:cs="Tahoma"/>
          <w:color w:val="000000"/>
          <w:sz w:val="24"/>
          <w:szCs w:val="24"/>
        </w:rPr>
        <w:t xml:space="preserve"> record in the case is crucial to obtaining meaningful review. </w:t>
      </w:r>
      <w:r w:rsidR="001550CA">
        <w:rPr>
          <w:rFonts w:cs="Tahoma"/>
          <w:color w:val="000000"/>
          <w:sz w:val="24"/>
          <w:szCs w:val="24"/>
        </w:rPr>
        <w:t xml:space="preserve">Some </w:t>
      </w:r>
      <w:r>
        <w:rPr>
          <w:rFonts w:cs="Tahoma"/>
          <w:color w:val="000000"/>
          <w:sz w:val="24"/>
          <w:szCs w:val="24"/>
        </w:rPr>
        <w:t>California appellate court justices have flatly refused to review cases in which a low-income litigant is unable to provide a transcript of the proceedings below, even if they couldn’t afford it.</w:t>
      </w:r>
      <w:r w:rsidR="001550CA">
        <w:rPr>
          <w:rFonts w:cs="Tahoma"/>
          <w:color w:val="000000"/>
          <w:sz w:val="24"/>
          <w:szCs w:val="24"/>
        </w:rPr>
        <w:t xml:space="preserve"> </w:t>
      </w:r>
      <w:r w:rsidR="00E97AAD">
        <w:rPr>
          <w:rFonts w:cs="Tahoma"/>
          <w:color w:val="000000"/>
          <w:sz w:val="24"/>
          <w:szCs w:val="24"/>
        </w:rPr>
        <w:t>Without a written record of their case, the litigant effectively forfeits his or her right to appeal the decision.</w:t>
      </w:r>
    </w:p>
    <w:p w14:paraId="180E0B72" w14:textId="4822B57A" w:rsidR="001F2100" w:rsidRPr="008B5ABC" w:rsidRDefault="008B5ABC" w:rsidP="008B5ABC">
      <w:pPr>
        <w:jc w:val="both"/>
        <w:rPr>
          <w:rFonts w:cs="Tahoma"/>
          <w:color w:val="000000"/>
          <w:sz w:val="24"/>
          <w:szCs w:val="24"/>
        </w:rPr>
      </w:pPr>
      <w:r>
        <w:rPr>
          <w:rFonts w:cs="Tahoma"/>
          <w:color w:val="000000"/>
          <w:sz w:val="24"/>
          <w:szCs w:val="24"/>
        </w:rPr>
        <w:t>The sunset of the Transcript Reimbursement Fund has significant and devastating implications.</w:t>
      </w:r>
      <w:r w:rsidR="00E97AAD">
        <w:rPr>
          <w:rFonts w:cs="Tahoma"/>
          <w:color w:val="000000"/>
          <w:sz w:val="24"/>
          <w:szCs w:val="24"/>
        </w:rPr>
        <w:t xml:space="preserve"> Please support AB 2192 and preserve this important legislative safeguard of rights.</w:t>
      </w:r>
    </w:p>
    <w:p w14:paraId="6DD9D2AD" w14:textId="77777777" w:rsidR="001F2100" w:rsidRPr="00516F1C" w:rsidRDefault="001F2100">
      <w:pPr>
        <w:rPr>
          <w:rFonts w:cs="Tahoma"/>
          <w:color w:val="000000"/>
          <w:sz w:val="24"/>
          <w:szCs w:val="24"/>
        </w:rPr>
      </w:pPr>
      <w:r w:rsidRPr="00516F1C">
        <w:rPr>
          <w:rFonts w:cs="Tahoma"/>
          <w:color w:val="000000"/>
          <w:sz w:val="24"/>
          <w:szCs w:val="24"/>
        </w:rPr>
        <w:t xml:space="preserve">Sincerely, </w:t>
      </w:r>
    </w:p>
    <w:p w14:paraId="5F6411AD" w14:textId="3FDC93A6" w:rsidR="00516F1C" w:rsidRPr="00516F1C" w:rsidRDefault="00BE1828" w:rsidP="00516F1C">
      <w:pPr>
        <w:spacing w:after="0"/>
        <w:rPr>
          <w:rFonts w:cs="Tahoma"/>
          <w:color w:val="000000"/>
          <w:sz w:val="24"/>
          <w:szCs w:val="24"/>
        </w:rPr>
      </w:pPr>
      <w:r w:rsidRPr="00BE1828">
        <w:rPr>
          <w:rFonts w:cs="Tahoma"/>
          <w:noProof/>
          <w:color w:val="000000"/>
          <w:sz w:val="24"/>
          <w:szCs w:val="24"/>
          <w:highlight w:val="red"/>
        </w:rPr>
        <w:t>[signature block]</w:t>
      </w:r>
    </w:p>
    <w:p w14:paraId="778660F9" w14:textId="4792A22A" w:rsidR="002B5124" w:rsidRPr="00516F1C" w:rsidRDefault="002B5124" w:rsidP="002A5F45">
      <w:pPr>
        <w:spacing w:after="0" w:line="240" w:lineRule="auto"/>
        <w:rPr>
          <w:sz w:val="24"/>
          <w:szCs w:val="24"/>
        </w:rPr>
      </w:pPr>
      <w:bookmarkStart w:id="0" w:name="_GoBack"/>
      <w:bookmarkEnd w:id="0"/>
    </w:p>
    <w:sectPr w:rsidR="002B5124" w:rsidRPr="00516F1C" w:rsidSect="00A916D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8C5AB" w14:textId="77777777" w:rsidR="00276300" w:rsidRDefault="00276300" w:rsidP="0059075F">
      <w:pPr>
        <w:spacing w:after="0" w:line="240" w:lineRule="auto"/>
      </w:pPr>
      <w:r>
        <w:separator/>
      </w:r>
    </w:p>
  </w:endnote>
  <w:endnote w:type="continuationSeparator" w:id="0">
    <w:p w14:paraId="65AADF1E" w14:textId="77777777" w:rsidR="00276300" w:rsidRDefault="00276300" w:rsidP="0059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87084" w14:textId="77777777" w:rsidR="00276300" w:rsidRDefault="00276300" w:rsidP="0059075F">
      <w:pPr>
        <w:spacing w:after="0" w:line="240" w:lineRule="auto"/>
      </w:pPr>
      <w:r>
        <w:separator/>
      </w:r>
    </w:p>
  </w:footnote>
  <w:footnote w:type="continuationSeparator" w:id="0">
    <w:p w14:paraId="44E9EED1" w14:textId="77777777" w:rsidR="00276300" w:rsidRDefault="00276300" w:rsidP="00590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A79C4" w14:textId="0F3D17C4" w:rsidR="001550CA" w:rsidRDefault="00BE1828" w:rsidP="00BE1828">
    <w:pPr>
      <w:jc w:val="center"/>
    </w:pPr>
    <w:r w:rsidRPr="00BE1828">
      <w:rPr>
        <w:highlight w:val="red"/>
      </w:rPr>
      <w:t>[INSERT YOUR LETTERHEAD]</w:t>
    </w:r>
  </w:p>
  <w:p w14:paraId="080C5787" w14:textId="77777777" w:rsidR="001550CA" w:rsidRDefault="00155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70A4B84"/>
    <w:lvl w:ilvl="0">
      <w:start w:val="1"/>
      <w:numFmt w:val="decimal"/>
      <w:pStyle w:val="ListNumber"/>
      <w:lvlText w:val="%1."/>
      <w:lvlJc w:val="left"/>
      <w:pPr>
        <w:tabs>
          <w:tab w:val="num" w:pos="360"/>
        </w:tabs>
        <w:ind w:left="360" w:hanging="360"/>
      </w:pPr>
    </w:lvl>
  </w:abstractNum>
  <w:abstractNum w:abstractNumId="1">
    <w:nsid w:val="07FA1FA4"/>
    <w:multiLevelType w:val="hybridMultilevel"/>
    <w:tmpl w:val="214A874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D2"/>
    <w:rsid w:val="000136F7"/>
    <w:rsid w:val="001550CA"/>
    <w:rsid w:val="001E0D35"/>
    <w:rsid w:val="001F2100"/>
    <w:rsid w:val="00201BD2"/>
    <w:rsid w:val="00243B36"/>
    <w:rsid w:val="00265244"/>
    <w:rsid w:val="00276300"/>
    <w:rsid w:val="002A5F45"/>
    <w:rsid w:val="002B5124"/>
    <w:rsid w:val="0031489E"/>
    <w:rsid w:val="00373A08"/>
    <w:rsid w:val="00450397"/>
    <w:rsid w:val="00516F1C"/>
    <w:rsid w:val="0059075F"/>
    <w:rsid w:val="005A4B1C"/>
    <w:rsid w:val="005E68E8"/>
    <w:rsid w:val="00723B71"/>
    <w:rsid w:val="00782858"/>
    <w:rsid w:val="007837ED"/>
    <w:rsid w:val="00793E37"/>
    <w:rsid w:val="007D43BA"/>
    <w:rsid w:val="008B5ABC"/>
    <w:rsid w:val="0093707C"/>
    <w:rsid w:val="00A916DE"/>
    <w:rsid w:val="00A917DD"/>
    <w:rsid w:val="00BE1828"/>
    <w:rsid w:val="00C84E64"/>
    <w:rsid w:val="00D11D06"/>
    <w:rsid w:val="00D3108A"/>
    <w:rsid w:val="00DF500F"/>
    <w:rsid w:val="00E40CC6"/>
    <w:rsid w:val="00E97AAD"/>
    <w:rsid w:val="00EA46C6"/>
    <w:rsid w:val="00EB38D4"/>
    <w:rsid w:val="00EF4028"/>
    <w:rsid w:val="00F37442"/>
    <w:rsid w:val="00FA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3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BD2"/>
    <w:rPr>
      <w:color w:val="0000FF"/>
      <w:u w:val="single"/>
    </w:rPr>
  </w:style>
  <w:style w:type="paragraph" w:styleId="NoSpacing">
    <w:name w:val="No Spacing"/>
    <w:uiPriority w:val="1"/>
    <w:qFormat/>
    <w:rsid w:val="00A916DE"/>
    <w:pPr>
      <w:spacing w:after="0" w:line="240" w:lineRule="auto"/>
    </w:pPr>
  </w:style>
  <w:style w:type="paragraph" w:styleId="Header">
    <w:name w:val="header"/>
    <w:basedOn w:val="Normal"/>
    <w:link w:val="HeaderChar"/>
    <w:uiPriority w:val="99"/>
    <w:unhideWhenUsed/>
    <w:rsid w:val="00590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75F"/>
  </w:style>
  <w:style w:type="paragraph" w:styleId="Footer">
    <w:name w:val="footer"/>
    <w:basedOn w:val="Normal"/>
    <w:link w:val="FooterChar"/>
    <w:uiPriority w:val="99"/>
    <w:unhideWhenUsed/>
    <w:rsid w:val="00590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75F"/>
  </w:style>
  <w:style w:type="paragraph" w:styleId="BalloonText">
    <w:name w:val="Balloon Text"/>
    <w:basedOn w:val="Normal"/>
    <w:link w:val="BalloonTextChar"/>
    <w:uiPriority w:val="99"/>
    <w:semiHidden/>
    <w:unhideWhenUsed/>
    <w:rsid w:val="00590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75F"/>
    <w:rPr>
      <w:rFonts w:ascii="Tahoma" w:hAnsi="Tahoma" w:cs="Tahoma"/>
      <w:sz w:val="16"/>
      <w:szCs w:val="16"/>
    </w:rPr>
  </w:style>
  <w:style w:type="paragraph" w:styleId="FootnoteText">
    <w:name w:val="footnote text"/>
    <w:basedOn w:val="Normal"/>
    <w:link w:val="FootnoteTextChar"/>
    <w:uiPriority w:val="99"/>
    <w:unhideWhenUsed/>
    <w:rsid w:val="00A917DD"/>
    <w:pPr>
      <w:tabs>
        <w:tab w:val="right" w:pos="216"/>
        <w:tab w:val="left" w:pos="360"/>
      </w:tabs>
      <w:spacing w:after="120" w:line="240" w:lineRule="auto"/>
      <w:ind w:left="360" w:hanging="36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917D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17DD"/>
    <w:rPr>
      <w:color w:val="auto"/>
      <w:position w:val="0"/>
      <w:sz w:val="20"/>
      <w:vertAlign w:val="superscript"/>
    </w:rPr>
  </w:style>
  <w:style w:type="paragraph" w:styleId="ListNumber">
    <w:name w:val="List Number"/>
    <w:basedOn w:val="Normal"/>
    <w:qFormat/>
    <w:rsid w:val="00A917DD"/>
    <w:pPr>
      <w:numPr>
        <w:numId w:val="2"/>
      </w:num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BD2"/>
    <w:rPr>
      <w:color w:val="0000FF"/>
      <w:u w:val="single"/>
    </w:rPr>
  </w:style>
  <w:style w:type="paragraph" w:styleId="NoSpacing">
    <w:name w:val="No Spacing"/>
    <w:uiPriority w:val="1"/>
    <w:qFormat/>
    <w:rsid w:val="00A916DE"/>
    <w:pPr>
      <w:spacing w:after="0" w:line="240" w:lineRule="auto"/>
    </w:pPr>
  </w:style>
  <w:style w:type="paragraph" w:styleId="Header">
    <w:name w:val="header"/>
    <w:basedOn w:val="Normal"/>
    <w:link w:val="HeaderChar"/>
    <w:uiPriority w:val="99"/>
    <w:unhideWhenUsed/>
    <w:rsid w:val="00590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75F"/>
  </w:style>
  <w:style w:type="paragraph" w:styleId="Footer">
    <w:name w:val="footer"/>
    <w:basedOn w:val="Normal"/>
    <w:link w:val="FooterChar"/>
    <w:uiPriority w:val="99"/>
    <w:unhideWhenUsed/>
    <w:rsid w:val="00590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75F"/>
  </w:style>
  <w:style w:type="paragraph" w:styleId="BalloonText">
    <w:name w:val="Balloon Text"/>
    <w:basedOn w:val="Normal"/>
    <w:link w:val="BalloonTextChar"/>
    <w:uiPriority w:val="99"/>
    <w:semiHidden/>
    <w:unhideWhenUsed/>
    <w:rsid w:val="00590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75F"/>
    <w:rPr>
      <w:rFonts w:ascii="Tahoma" w:hAnsi="Tahoma" w:cs="Tahoma"/>
      <w:sz w:val="16"/>
      <w:szCs w:val="16"/>
    </w:rPr>
  </w:style>
  <w:style w:type="paragraph" w:styleId="FootnoteText">
    <w:name w:val="footnote text"/>
    <w:basedOn w:val="Normal"/>
    <w:link w:val="FootnoteTextChar"/>
    <w:uiPriority w:val="99"/>
    <w:unhideWhenUsed/>
    <w:rsid w:val="00A917DD"/>
    <w:pPr>
      <w:tabs>
        <w:tab w:val="right" w:pos="216"/>
        <w:tab w:val="left" w:pos="360"/>
      </w:tabs>
      <w:spacing w:after="120" w:line="240" w:lineRule="auto"/>
      <w:ind w:left="360" w:hanging="36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917D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17DD"/>
    <w:rPr>
      <w:color w:val="auto"/>
      <w:position w:val="0"/>
      <w:sz w:val="20"/>
      <w:vertAlign w:val="superscript"/>
    </w:rPr>
  </w:style>
  <w:style w:type="paragraph" w:styleId="ListNumber">
    <w:name w:val="List Number"/>
    <w:basedOn w:val="Normal"/>
    <w:qFormat/>
    <w:rsid w:val="00A917DD"/>
    <w:pPr>
      <w:numPr>
        <w:numId w:val="2"/>
      </w:num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Salena Copeland</dc:creator>
  <cp:lastModifiedBy>Salena</cp:lastModifiedBy>
  <cp:revision>3</cp:revision>
  <cp:lastPrinted>2015-07-20T21:22:00Z</cp:lastPrinted>
  <dcterms:created xsi:type="dcterms:W3CDTF">2016-07-22T19:43:00Z</dcterms:created>
  <dcterms:modified xsi:type="dcterms:W3CDTF">2016-07-22T19:45:00Z</dcterms:modified>
</cp:coreProperties>
</file>