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2A" w:rsidRPr="004F552A" w:rsidRDefault="004F552A" w:rsidP="004F55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555555"/>
          <w:sz w:val="21"/>
          <w:szCs w:val="21"/>
        </w:rPr>
      </w:pPr>
      <w:r w:rsidRPr="004F552A">
        <w:rPr>
          <w:rFonts w:ascii="Helvetica" w:eastAsia="Times New Roman" w:hAnsi="Helvetica" w:cs="Helvetica"/>
          <w:b/>
          <w:color w:val="555555"/>
          <w:sz w:val="21"/>
          <w:szCs w:val="21"/>
        </w:rPr>
        <w:t>Case Western Reserve University in the Community Lunch and Learn To Begin</w:t>
      </w:r>
    </w:p>
    <w:p w:rsidR="004F552A" w:rsidRPr="004F552A" w:rsidRDefault="004F552A" w:rsidP="004F55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>
        <w:rPr>
          <w:rFonts w:ascii="Helvetica" w:eastAsia="Times New Roman" w:hAnsi="Helvetica" w:cs="Helvetica"/>
          <w:color w:val="555555"/>
          <w:sz w:val="21"/>
          <w:szCs w:val="21"/>
        </w:rPr>
        <w:t xml:space="preserve">On Wednesday, January 20 at Noon, </w:t>
      </w:r>
      <w:bookmarkStart w:id="0" w:name="_GoBack"/>
      <w:r>
        <w:rPr>
          <w:rFonts w:ascii="Helvetica" w:eastAsia="Times New Roman" w:hAnsi="Helvetica" w:cs="Helvetica"/>
          <w:color w:val="555555"/>
          <w:sz w:val="21"/>
          <w:szCs w:val="21"/>
        </w:rPr>
        <w:t>t</w:t>
      </w:r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 xml:space="preserve">he Office of Local </w:t>
      </w:r>
      <w:r>
        <w:rPr>
          <w:rFonts w:ascii="Helvetica" w:eastAsia="Times New Roman" w:hAnsi="Helvetica" w:cs="Helvetica"/>
          <w:color w:val="555555"/>
          <w:sz w:val="21"/>
          <w:szCs w:val="21"/>
        </w:rPr>
        <w:t xml:space="preserve">Government &amp; Community Relations </w:t>
      </w:r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 xml:space="preserve">will </w:t>
      </w:r>
      <w:r>
        <w:rPr>
          <w:rFonts w:ascii="Helvetica" w:eastAsia="Times New Roman" w:hAnsi="Helvetica" w:cs="Helvetica"/>
          <w:color w:val="555555"/>
          <w:sz w:val="21"/>
          <w:szCs w:val="21"/>
        </w:rPr>
        <w:t>launch</w:t>
      </w:r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 xml:space="preserve"> Case in the Communi</w:t>
      </w:r>
      <w:r>
        <w:rPr>
          <w:rFonts w:ascii="Helvetica" w:eastAsia="Times New Roman" w:hAnsi="Helvetica" w:cs="Helvetica"/>
          <w:color w:val="555555"/>
          <w:sz w:val="21"/>
          <w:szCs w:val="21"/>
        </w:rPr>
        <w:t xml:space="preserve">ty Lunch &amp; Learn Series. Open to the campus and community, these monthly sessions will showcase Case Western Reserve’s involvement and positive impact in the community. </w:t>
      </w:r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>Faculty, staff and students who are involved in coordinating community outreach programs will conduct presentations</w:t>
      </w:r>
      <w:bookmarkEnd w:id="0"/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>.</w:t>
      </w:r>
    </w:p>
    <w:p w:rsidR="004F552A" w:rsidRPr="004F552A" w:rsidRDefault="004F552A" w:rsidP="004F55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 xml:space="preserve">The Lunch and Learn Series will begin Wednesday, Jan. 20, at noon in Adelbert Hall’s Toepfer Room with a showcase </w:t>
      </w:r>
      <w:r>
        <w:rPr>
          <w:rFonts w:ascii="Helvetica" w:eastAsia="Times New Roman" w:hAnsi="Helvetica" w:cs="Helvetica"/>
          <w:color w:val="555555"/>
          <w:sz w:val="21"/>
          <w:szCs w:val="21"/>
        </w:rPr>
        <w:t>presented by Elizabeth Banks, Director for the Center for Civic Engagement &amp; Learning. Please refer to the upcoming schedule for future presentations. Refreshments will be provided.</w:t>
      </w:r>
    </w:p>
    <w:p w:rsidR="004F552A" w:rsidRPr="004F552A" w:rsidRDefault="004F552A" w:rsidP="004F55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 xml:space="preserve">For additional information, contact Latisha James, executive director for local government and community relations, at </w:t>
      </w:r>
      <w:hyperlink r:id="rId4" w:tgtFrame="_blank" w:history="1">
        <w:r w:rsidRPr="004F552A">
          <w:rPr>
            <w:rFonts w:ascii="Helvetica" w:eastAsia="Times New Roman" w:hAnsi="Helvetica" w:cs="Helvetica"/>
            <w:b/>
            <w:bCs/>
            <w:color w:val="0E436C"/>
            <w:sz w:val="21"/>
            <w:szCs w:val="21"/>
          </w:rPr>
          <w:t>lmj13@case.edu</w:t>
        </w:r>
      </w:hyperlink>
      <w:r w:rsidRPr="004F552A">
        <w:rPr>
          <w:rFonts w:ascii="Helvetica" w:eastAsia="Times New Roman" w:hAnsi="Helvetica" w:cs="Helvetica"/>
          <w:color w:val="555555"/>
          <w:sz w:val="21"/>
          <w:szCs w:val="21"/>
        </w:rPr>
        <w:t xml:space="preserve"> or 216.368.3909.</w:t>
      </w:r>
    </w:p>
    <w:tbl>
      <w:tblPr>
        <w:tblStyle w:val="TableGrid"/>
        <w:tblW w:w="6112" w:type="pct"/>
        <w:tblInd w:w="-1085" w:type="dxa"/>
        <w:tblLook w:val="04A0" w:firstRow="1" w:lastRow="0" w:firstColumn="1" w:lastColumn="0" w:noHBand="0" w:noVBand="1"/>
      </w:tblPr>
      <w:tblGrid>
        <w:gridCol w:w="2315"/>
        <w:gridCol w:w="3184"/>
        <w:gridCol w:w="2405"/>
        <w:gridCol w:w="3525"/>
      </w:tblGrid>
      <w:tr w:rsidR="004F552A" w:rsidRPr="004F552A" w:rsidTr="004F552A">
        <w:tc>
          <w:tcPr>
            <w:tcW w:w="1013" w:type="pct"/>
            <w:shd w:val="clear" w:color="auto" w:fill="44546A" w:themeFill="text2"/>
          </w:tcPr>
          <w:p w:rsidR="004F552A" w:rsidRPr="004F552A" w:rsidRDefault="004F552A" w:rsidP="009C1F8C">
            <w:pPr>
              <w:jc w:val="center"/>
              <w:rPr>
                <w:b/>
                <w:color w:val="FFFFFF" w:themeColor="background1"/>
              </w:rPr>
            </w:pPr>
            <w:r w:rsidRPr="004F552A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393" w:type="pct"/>
            <w:shd w:val="clear" w:color="auto" w:fill="44546A" w:themeFill="text2"/>
          </w:tcPr>
          <w:p w:rsidR="004F552A" w:rsidRPr="004F552A" w:rsidRDefault="004F552A" w:rsidP="009C1F8C">
            <w:pPr>
              <w:jc w:val="center"/>
              <w:rPr>
                <w:b/>
                <w:color w:val="FFFFFF" w:themeColor="background1"/>
              </w:rPr>
            </w:pPr>
            <w:r w:rsidRPr="004F552A">
              <w:rPr>
                <w:b/>
                <w:color w:val="FFFFFF" w:themeColor="background1"/>
              </w:rPr>
              <w:t>Presenter/s/</w:t>
            </w:r>
          </w:p>
        </w:tc>
        <w:tc>
          <w:tcPr>
            <w:tcW w:w="1052" w:type="pct"/>
            <w:shd w:val="clear" w:color="auto" w:fill="44546A" w:themeFill="text2"/>
          </w:tcPr>
          <w:p w:rsidR="004F552A" w:rsidRPr="004F552A" w:rsidRDefault="004F552A" w:rsidP="009C1F8C">
            <w:pPr>
              <w:jc w:val="center"/>
              <w:rPr>
                <w:b/>
                <w:color w:val="FFFFFF" w:themeColor="background1"/>
              </w:rPr>
            </w:pPr>
            <w:r w:rsidRPr="004F552A">
              <w:rPr>
                <w:b/>
                <w:color w:val="FFFFFF" w:themeColor="background1"/>
              </w:rPr>
              <w:t>Affiliation</w:t>
            </w:r>
          </w:p>
        </w:tc>
        <w:tc>
          <w:tcPr>
            <w:tcW w:w="1542" w:type="pct"/>
            <w:shd w:val="clear" w:color="auto" w:fill="44546A" w:themeFill="text2"/>
          </w:tcPr>
          <w:p w:rsidR="004F552A" w:rsidRPr="004F552A" w:rsidRDefault="004F552A" w:rsidP="009C1F8C">
            <w:pPr>
              <w:jc w:val="center"/>
              <w:rPr>
                <w:b/>
                <w:color w:val="FFFFFF" w:themeColor="background1"/>
              </w:rPr>
            </w:pPr>
            <w:r w:rsidRPr="004F552A">
              <w:rPr>
                <w:b/>
                <w:color w:val="FFFFFF" w:themeColor="background1"/>
              </w:rPr>
              <w:t>Community Outreach Focus Area</w:t>
            </w:r>
          </w:p>
          <w:p w:rsidR="004F552A" w:rsidRPr="004F552A" w:rsidRDefault="004F552A" w:rsidP="009C1F8C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552A" w:rsidRPr="004F552A" w:rsidTr="004F552A">
        <w:tc>
          <w:tcPr>
            <w:tcW w:w="1013" w:type="pct"/>
          </w:tcPr>
          <w:p w:rsidR="004F552A" w:rsidRPr="004F552A" w:rsidRDefault="004F552A" w:rsidP="009C1F8C">
            <w:pPr>
              <w:rPr>
                <w:b/>
              </w:rPr>
            </w:pPr>
            <w:r w:rsidRPr="004F552A">
              <w:rPr>
                <w:b/>
              </w:rPr>
              <w:t>January 20</w:t>
            </w:r>
          </w:p>
        </w:tc>
        <w:tc>
          <w:tcPr>
            <w:tcW w:w="1393" w:type="pct"/>
          </w:tcPr>
          <w:p w:rsidR="004F552A" w:rsidRPr="004F552A" w:rsidRDefault="004F552A" w:rsidP="009C1F8C">
            <w:r w:rsidRPr="004F552A">
              <w:rPr>
                <w:b/>
                <w:i/>
              </w:rPr>
              <w:t>Elizabeth Banks,</w:t>
            </w:r>
            <w:r w:rsidRPr="004F552A">
              <w:t xml:space="preserve"> Director</w:t>
            </w:r>
          </w:p>
          <w:p w:rsidR="004F552A" w:rsidRPr="004F552A" w:rsidRDefault="004F552A" w:rsidP="009C1F8C"/>
          <w:p w:rsidR="004F552A" w:rsidRPr="004F552A" w:rsidRDefault="004F552A" w:rsidP="009C1F8C"/>
          <w:p w:rsidR="004F552A" w:rsidRPr="004F552A" w:rsidRDefault="004F552A" w:rsidP="009C1F8C">
            <w:r w:rsidRPr="004F552A">
              <w:rPr>
                <w:b/>
                <w:i/>
              </w:rPr>
              <w:t>Pamela Bligh Glover</w:t>
            </w:r>
            <w:r w:rsidRPr="004F552A">
              <w:rPr>
                <w:i/>
              </w:rPr>
              <w:t>,</w:t>
            </w:r>
            <w:r w:rsidRPr="004F552A">
              <w:t xml:space="preserve"> Executive Director</w:t>
            </w:r>
          </w:p>
          <w:p w:rsidR="004F552A" w:rsidRPr="004F552A" w:rsidRDefault="004F552A" w:rsidP="009C1F8C"/>
        </w:tc>
        <w:tc>
          <w:tcPr>
            <w:tcW w:w="1052" w:type="pct"/>
          </w:tcPr>
          <w:p w:rsidR="004F552A" w:rsidRPr="004F552A" w:rsidRDefault="004F552A" w:rsidP="009C1F8C">
            <w:r w:rsidRPr="004F552A">
              <w:t>The Center for Civic Engagement &amp; Learning</w:t>
            </w:r>
          </w:p>
          <w:p w:rsidR="004F552A" w:rsidRPr="004F552A" w:rsidRDefault="004F552A" w:rsidP="009C1F8C"/>
          <w:p w:rsidR="004F552A" w:rsidRPr="004F552A" w:rsidRDefault="004F552A" w:rsidP="009C1F8C">
            <w:r w:rsidRPr="004F552A">
              <w:t>NSF Center for Layered Polymeric Systems (CLiPS)</w:t>
            </w:r>
          </w:p>
        </w:tc>
        <w:tc>
          <w:tcPr>
            <w:tcW w:w="1542" w:type="pct"/>
          </w:tcPr>
          <w:p w:rsidR="004F552A" w:rsidRPr="004F552A" w:rsidRDefault="004F552A" w:rsidP="009C1F8C">
            <w:r w:rsidRPr="004F552A">
              <w:t xml:space="preserve">K-12 Outreach Services and Programs </w:t>
            </w:r>
          </w:p>
          <w:p w:rsidR="004F552A" w:rsidRPr="004F552A" w:rsidRDefault="004F552A" w:rsidP="009C1F8C"/>
          <w:p w:rsidR="004F552A" w:rsidRPr="004F552A" w:rsidRDefault="004F552A" w:rsidP="009C1F8C">
            <w:r w:rsidRPr="004F552A">
              <w:t>STEM Outreach programs for High School Students</w:t>
            </w:r>
          </w:p>
          <w:p w:rsidR="004F552A" w:rsidRPr="004F552A" w:rsidRDefault="004F552A" w:rsidP="009C1F8C"/>
        </w:tc>
      </w:tr>
      <w:tr w:rsidR="004F552A" w:rsidRPr="004F552A" w:rsidTr="004F552A">
        <w:tc>
          <w:tcPr>
            <w:tcW w:w="1013" w:type="pct"/>
          </w:tcPr>
          <w:p w:rsidR="004F552A" w:rsidRPr="004F552A" w:rsidRDefault="004F552A" w:rsidP="009C1F8C">
            <w:pPr>
              <w:rPr>
                <w:b/>
              </w:rPr>
            </w:pPr>
            <w:r w:rsidRPr="004F552A">
              <w:rPr>
                <w:b/>
              </w:rPr>
              <w:t>February 17</w:t>
            </w:r>
          </w:p>
        </w:tc>
        <w:tc>
          <w:tcPr>
            <w:tcW w:w="1393" w:type="pct"/>
          </w:tcPr>
          <w:p w:rsidR="004F552A" w:rsidRPr="004F552A" w:rsidRDefault="004F552A" w:rsidP="009C1F8C">
            <w:r w:rsidRPr="004F552A">
              <w:rPr>
                <w:b/>
                <w:i/>
              </w:rPr>
              <w:t>Judy Lipton,</w:t>
            </w:r>
            <w:r w:rsidRPr="004F552A">
              <w:t xml:space="preserve"> Professor and Associate Dean for Experiential Education</w:t>
            </w:r>
          </w:p>
          <w:p w:rsidR="004F552A" w:rsidRPr="004F552A" w:rsidRDefault="004F552A" w:rsidP="009C1F8C"/>
          <w:p w:rsidR="004F552A" w:rsidRPr="004F552A" w:rsidRDefault="004F552A" w:rsidP="009C1F8C">
            <w:r w:rsidRPr="004F552A">
              <w:rPr>
                <w:b/>
                <w:i/>
              </w:rPr>
              <w:t>Dennis Harris,</w:t>
            </w:r>
            <w:r w:rsidRPr="004F552A">
              <w:t xml:space="preserve"> Director</w:t>
            </w:r>
          </w:p>
          <w:p w:rsidR="004F552A" w:rsidRPr="004F552A" w:rsidRDefault="004F552A" w:rsidP="009C1F8C">
            <w:r w:rsidRPr="004F552A">
              <w:rPr>
                <w:b/>
                <w:i/>
              </w:rPr>
              <w:t>Carla Curtis,</w:t>
            </w:r>
            <w:r w:rsidRPr="004F552A">
              <w:t xml:space="preserve"> Assistant Director</w:t>
            </w:r>
          </w:p>
        </w:tc>
        <w:tc>
          <w:tcPr>
            <w:tcW w:w="1052" w:type="pct"/>
          </w:tcPr>
          <w:p w:rsidR="004F552A" w:rsidRPr="004F552A" w:rsidRDefault="004F552A" w:rsidP="009C1F8C">
            <w:r w:rsidRPr="004F552A">
              <w:t>The School of Law</w:t>
            </w:r>
          </w:p>
          <w:p w:rsidR="004F552A" w:rsidRPr="004F552A" w:rsidRDefault="004F552A" w:rsidP="009C1F8C"/>
          <w:p w:rsidR="004F552A" w:rsidRPr="004F552A" w:rsidRDefault="004F552A" w:rsidP="009C1F8C"/>
          <w:p w:rsidR="004F552A" w:rsidRPr="004F552A" w:rsidRDefault="004F552A" w:rsidP="009C1F8C">
            <w:r w:rsidRPr="004F552A">
              <w:t>National Youth Sports Program</w:t>
            </w:r>
          </w:p>
        </w:tc>
        <w:tc>
          <w:tcPr>
            <w:tcW w:w="1542" w:type="pct"/>
          </w:tcPr>
          <w:p w:rsidR="004F552A" w:rsidRPr="004F552A" w:rsidRDefault="004F552A" w:rsidP="009C1F8C">
            <w:r w:rsidRPr="004F552A">
              <w:t>Law Clinics and other Legal Services for underserved</w:t>
            </w:r>
          </w:p>
          <w:p w:rsidR="004F552A" w:rsidRPr="004F552A" w:rsidRDefault="004F552A" w:rsidP="009C1F8C"/>
          <w:p w:rsidR="004F552A" w:rsidRPr="004F552A" w:rsidRDefault="004F552A" w:rsidP="009C1F8C">
            <w:r w:rsidRPr="004F552A">
              <w:t>Youth Summer Sports, Wellness &amp; Academic Program</w:t>
            </w:r>
          </w:p>
          <w:p w:rsidR="004F552A" w:rsidRPr="004F552A" w:rsidRDefault="004F552A" w:rsidP="009C1F8C"/>
        </w:tc>
      </w:tr>
      <w:tr w:rsidR="004F552A" w:rsidRPr="004F552A" w:rsidTr="004F552A">
        <w:tc>
          <w:tcPr>
            <w:tcW w:w="1013" w:type="pct"/>
          </w:tcPr>
          <w:p w:rsidR="004F552A" w:rsidRPr="004F552A" w:rsidRDefault="004F552A" w:rsidP="009C1F8C">
            <w:pPr>
              <w:rPr>
                <w:b/>
              </w:rPr>
            </w:pPr>
            <w:r w:rsidRPr="004F552A">
              <w:rPr>
                <w:b/>
              </w:rPr>
              <w:t>March 16</w:t>
            </w:r>
          </w:p>
        </w:tc>
        <w:tc>
          <w:tcPr>
            <w:tcW w:w="1393" w:type="pct"/>
          </w:tcPr>
          <w:p w:rsidR="004F552A" w:rsidRPr="004F552A" w:rsidRDefault="004F552A" w:rsidP="009C1F8C">
            <w:r w:rsidRPr="004F552A">
              <w:rPr>
                <w:b/>
              </w:rPr>
              <w:t>Me’lani Joseph,</w:t>
            </w:r>
            <w:r w:rsidRPr="004F552A">
              <w:t xml:space="preserve"> Director of Engineering</w:t>
            </w:r>
          </w:p>
          <w:p w:rsidR="004F552A" w:rsidRPr="004F552A" w:rsidRDefault="004F552A" w:rsidP="009C1F8C"/>
        </w:tc>
        <w:tc>
          <w:tcPr>
            <w:tcW w:w="1052" w:type="pct"/>
          </w:tcPr>
          <w:p w:rsidR="004F552A" w:rsidRPr="004F552A" w:rsidRDefault="004F552A" w:rsidP="009C1F8C">
            <w:r w:rsidRPr="004F552A">
              <w:t>Leonard Gelfand STEM Center</w:t>
            </w:r>
          </w:p>
        </w:tc>
        <w:tc>
          <w:tcPr>
            <w:tcW w:w="1542" w:type="pct"/>
          </w:tcPr>
          <w:p w:rsidR="004F552A" w:rsidRPr="004F552A" w:rsidRDefault="004F552A" w:rsidP="009C1F8C">
            <w:r w:rsidRPr="004F552A">
              <w:t>K-12 STEM Outreach programs</w:t>
            </w:r>
          </w:p>
        </w:tc>
      </w:tr>
      <w:tr w:rsidR="004F552A" w:rsidRPr="004F552A" w:rsidTr="004F552A">
        <w:tc>
          <w:tcPr>
            <w:tcW w:w="1013" w:type="pct"/>
          </w:tcPr>
          <w:p w:rsidR="004F552A" w:rsidRPr="004F552A" w:rsidRDefault="004F552A" w:rsidP="009C1F8C">
            <w:pPr>
              <w:rPr>
                <w:b/>
              </w:rPr>
            </w:pPr>
            <w:r w:rsidRPr="004F552A">
              <w:rPr>
                <w:b/>
              </w:rPr>
              <w:t>April 20</w:t>
            </w:r>
          </w:p>
        </w:tc>
        <w:tc>
          <w:tcPr>
            <w:tcW w:w="1393" w:type="pct"/>
          </w:tcPr>
          <w:p w:rsidR="004F552A" w:rsidRPr="004F552A" w:rsidRDefault="004F552A" w:rsidP="009C1F8C">
            <w:r w:rsidRPr="004F552A">
              <w:rPr>
                <w:b/>
              </w:rPr>
              <w:t>Dr. Marilyn Mobley,</w:t>
            </w:r>
            <w:r w:rsidRPr="004F552A">
              <w:t xml:space="preserve"> Vice President</w:t>
            </w:r>
          </w:p>
          <w:p w:rsidR="004F552A" w:rsidRPr="004F552A" w:rsidRDefault="004F552A" w:rsidP="009C1F8C"/>
        </w:tc>
        <w:tc>
          <w:tcPr>
            <w:tcW w:w="1052" w:type="pct"/>
          </w:tcPr>
          <w:p w:rsidR="004F552A" w:rsidRPr="004F552A" w:rsidRDefault="004F552A" w:rsidP="009C1F8C">
            <w:r w:rsidRPr="004F552A">
              <w:t>Office for Diversity, Inclusion and Equal Opportunity</w:t>
            </w:r>
          </w:p>
        </w:tc>
        <w:tc>
          <w:tcPr>
            <w:tcW w:w="1542" w:type="pct"/>
          </w:tcPr>
          <w:p w:rsidR="004F552A" w:rsidRPr="004F552A" w:rsidRDefault="004F552A" w:rsidP="009C1F8C">
            <w:r w:rsidRPr="004F552A">
              <w:t>Programs and initiatives that help advance diversity through inclusive thinking, mindful learning and transformative dialogue</w:t>
            </w:r>
          </w:p>
        </w:tc>
      </w:tr>
      <w:tr w:rsidR="004F552A" w:rsidRPr="004F552A" w:rsidTr="004F552A">
        <w:tc>
          <w:tcPr>
            <w:tcW w:w="1013" w:type="pct"/>
          </w:tcPr>
          <w:p w:rsidR="004F552A" w:rsidRPr="004F552A" w:rsidRDefault="004F552A" w:rsidP="009C1F8C">
            <w:pPr>
              <w:rPr>
                <w:b/>
              </w:rPr>
            </w:pPr>
            <w:r w:rsidRPr="004F552A">
              <w:rPr>
                <w:b/>
              </w:rPr>
              <w:t>May 18</w:t>
            </w:r>
          </w:p>
        </w:tc>
        <w:tc>
          <w:tcPr>
            <w:tcW w:w="1393" w:type="pct"/>
          </w:tcPr>
          <w:p w:rsidR="004F552A" w:rsidRPr="004F552A" w:rsidRDefault="004F552A" w:rsidP="009C1F8C">
            <w:r w:rsidRPr="004F552A">
              <w:rPr>
                <w:b/>
                <w:i/>
              </w:rPr>
              <w:t>Jacqueline Matloub,</w:t>
            </w:r>
            <w:r w:rsidRPr="004F552A">
              <w:t xml:space="preserve"> Research Assistant</w:t>
            </w:r>
          </w:p>
          <w:p w:rsidR="004F552A" w:rsidRPr="004F552A" w:rsidRDefault="004F552A" w:rsidP="009C1F8C">
            <w:r w:rsidRPr="004F552A">
              <w:rPr>
                <w:b/>
                <w:i/>
              </w:rPr>
              <w:t>Danielle Price,</w:t>
            </w:r>
            <w:r w:rsidRPr="004F552A">
              <w:t xml:space="preserve"> Program Manager, GUCCHI Community Engagement</w:t>
            </w:r>
          </w:p>
          <w:p w:rsidR="004F552A" w:rsidRPr="004F552A" w:rsidRDefault="004F552A" w:rsidP="009C1F8C">
            <w:r w:rsidRPr="004F552A">
              <w:rPr>
                <w:b/>
                <w:i/>
              </w:rPr>
              <w:t>Neal Hodges,</w:t>
            </w:r>
            <w:r w:rsidRPr="004F552A">
              <w:t xml:space="preserve"> Project Manager, GUCCHI</w:t>
            </w:r>
          </w:p>
        </w:tc>
        <w:tc>
          <w:tcPr>
            <w:tcW w:w="1052" w:type="pct"/>
          </w:tcPr>
          <w:p w:rsidR="004F552A" w:rsidRPr="004F552A" w:rsidRDefault="004F552A" w:rsidP="009C1F8C">
            <w:r w:rsidRPr="004F552A">
              <w:t>Greater University Circle Community Health Initiative (GUCCHI)</w:t>
            </w:r>
          </w:p>
        </w:tc>
        <w:tc>
          <w:tcPr>
            <w:tcW w:w="1542" w:type="pct"/>
          </w:tcPr>
          <w:p w:rsidR="004F552A" w:rsidRPr="004F552A" w:rsidRDefault="004F552A" w:rsidP="009C1F8C">
            <w:r w:rsidRPr="004F552A">
              <w:t>Community Health Programs and Services to reduce Infant mortality and lead poisoning</w:t>
            </w:r>
          </w:p>
        </w:tc>
      </w:tr>
      <w:tr w:rsidR="004F552A" w:rsidRPr="004F552A" w:rsidTr="004F552A">
        <w:tc>
          <w:tcPr>
            <w:tcW w:w="1013" w:type="pct"/>
          </w:tcPr>
          <w:p w:rsidR="004F552A" w:rsidRPr="004F552A" w:rsidRDefault="004F552A" w:rsidP="009C1F8C">
            <w:pPr>
              <w:rPr>
                <w:b/>
              </w:rPr>
            </w:pPr>
            <w:r w:rsidRPr="004F552A">
              <w:rPr>
                <w:b/>
              </w:rPr>
              <w:t>June 15</w:t>
            </w:r>
          </w:p>
        </w:tc>
        <w:tc>
          <w:tcPr>
            <w:tcW w:w="1393" w:type="pct"/>
          </w:tcPr>
          <w:p w:rsidR="004F552A" w:rsidRPr="004F552A" w:rsidRDefault="004F552A" w:rsidP="009C1F8C">
            <w:r w:rsidRPr="004F552A">
              <w:rPr>
                <w:b/>
                <w:i/>
              </w:rPr>
              <w:t>Dr. Rhonda Williams,</w:t>
            </w:r>
            <w:r w:rsidRPr="004F552A">
              <w:t xml:space="preserve"> Founder &amp; Director</w:t>
            </w:r>
          </w:p>
          <w:p w:rsidR="004F552A" w:rsidRPr="004F552A" w:rsidRDefault="004F552A" w:rsidP="009C1F8C"/>
        </w:tc>
        <w:tc>
          <w:tcPr>
            <w:tcW w:w="1052" w:type="pct"/>
          </w:tcPr>
          <w:p w:rsidR="004F552A" w:rsidRPr="004F552A" w:rsidRDefault="004F552A" w:rsidP="009C1F8C">
            <w:r w:rsidRPr="004F552A">
              <w:t>The Social Justice Institute</w:t>
            </w:r>
          </w:p>
          <w:p w:rsidR="004F552A" w:rsidRPr="004F552A" w:rsidRDefault="004F552A" w:rsidP="009C1F8C"/>
        </w:tc>
        <w:tc>
          <w:tcPr>
            <w:tcW w:w="1542" w:type="pct"/>
          </w:tcPr>
          <w:p w:rsidR="004F552A" w:rsidRPr="004F552A" w:rsidRDefault="004F552A" w:rsidP="009C1F8C">
            <w:r w:rsidRPr="004F552A">
              <w:t>Social equality academic curriculum, programs and events</w:t>
            </w:r>
          </w:p>
        </w:tc>
      </w:tr>
    </w:tbl>
    <w:p w:rsidR="006272D4" w:rsidRPr="004F552A" w:rsidRDefault="006272D4" w:rsidP="004F552A"/>
    <w:sectPr w:rsidR="006272D4" w:rsidRPr="004F5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2A"/>
    <w:rsid w:val="00227557"/>
    <w:rsid w:val="00333483"/>
    <w:rsid w:val="004F552A"/>
    <w:rsid w:val="006272D4"/>
    <w:rsid w:val="00D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AA0A9-BB5F-4A25-800E-9855B296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  <w:divsChild>
                    <w:div w:id="20620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j13@cas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James</dc:creator>
  <cp:keywords/>
  <dc:description/>
  <cp:lastModifiedBy>Bianca Jenkins</cp:lastModifiedBy>
  <cp:revision>2</cp:revision>
  <dcterms:created xsi:type="dcterms:W3CDTF">2016-01-13T17:16:00Z</dcterms:created>
  <dcterms:modified xsi:type="dcterms:W3CDTF">2016-01-13T17:16:00Z</dcterms:modified>
</cp:coreProperties>
</file>